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49" w:rsidRPr="00891F08" w:rsidRDefault="00987DD4" w:rsidP="00065F5A">
      <w:pPr>
        <w:tabs>
          <w:tab w:val="left" w:pos="6950"/>
        </w:tabs>
        <w:spacing w:after="0" w:line="240" w:lineRule="auto"/>
        <w:ind w:right="-5418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One Way Federation -</w:t>
      </w:r>
      <w:r w:rsidR="00263849">
        <w:rPr>
          <w:b/>
          <w:sz w:val="22"/>
        </w:rPr>
        <w:t xml:space="preserve"> </w:t>
      </w:r>
      <w:r w:rsidR="00891F08" w:rsidRPr="00891F08">
        <w:rPr>
          <w:b/>
          <w:sz w:val="22"/>
        </w:rPr>
        <w:t xml:space="preserve">Leveraging </w:t>
      </w:r>
      <w:r>
        <w:rPr>
          <w:b/>
          <w:sz w:val="22"/>
        </w:rPr>
        <w:t>Your Local Credentials</w:t>
      </w:r>
    </w:p>
    <w:p w:rsidR="000C1E08" w:rsidRDefault="00987DD4">
      <w:pPr>
        <w:spacing w:after="0" w:line="240" w:lineRule="auto"/>
        <w:rPr>
          <w:b/>
          <w:color w:val="800000"/>
          <w:szCs w:val="20"/>
        </w:rPr>
      </w:pPr>
      <w:r w:rsidRPr="00065F5A">
        <w:rPr>
          <w:b/>
          <w:color w:val="800000"/>
          <w:szCs w:val="20"/>
        </w:rPr>
        <w:t>Harvard Medical School and Faculty of Arts &amp; Sci</w:t>
      </w:r>
      <w:r w:rsidR="0022402B" w:rsidRPr="00065F5A">
        <w:rPr>
          <w:b/>
          <w:color w:val="800000"/>
          <w:szCs w:val="20"/>
        </w:rPr>
        <w:t>ences are Early Adopters</w:t>
      </w:r>
    </w:p>
    <w:p w:rsidR="001E470F" w:rsidRPr="001E470F" w:rsidRDefault="00382B6E" w:rsidP="001E470F">
      <w:pPr>
        <w:tabs>
          <w:tab w:val="left" w:pos="6950"/>
        </w:tabs>
        <w:spacing w:after="0"/>
        <w:rPr>
          <w:b/>
          <w:sz w:val="24"/>
          <w:szCs w:val="24"/>
        </w:rPr>
      </w:pPr>
      <w:r>
        <w:rPr>
          <w:b/>
          <w:szCs w:val="20"/>
        </w:rPr>
        <w:t>_____________________________________________</w:t>
      </w:r>
      <w:r w:rsidR="00065F5A">
        <w:rPr>
          <w:b/>
          <w:szCs w:val="20"/>
        </w:rPr>
        <w:t>__</w:t>
      </w:r>
      <w:r w:rsidR="008F0620">
        <w:rPr>
          <w:b/>
          <w:szCs w:val="20"/>
        </w:rPr>
        <w:tab/>
      </w:r>
      <w:r w:rsidR="008F0620">
        <w:rPr>
          <w:b/>
          <w:szCs w:val="20"/>
        </w:rPr>
        <w:tab/>
      </w:r>
      <w:r w:rsidR="008F0620">
        <w:rPr>
          <w:b/>
          <w:szCs w:val="20"/>
        </w:rPr>
        <w:tab/>
      </w:r>
      <w:r w:rsidR="008F0620">
        <w:rPr>
          <w:b/>
          <w:szCs w:val="20"/>
        </w:rPr>
        <w:tab/>
      </w:r>
      <w:r w:rsidR="001E470F">
        <w:rPr>
          <w:b/>
          <w:sz w:val="24"/>
          <w:szCs w:val="24"/>
        </w:rPr>
        <w:tab/>
      </w:r>
    </w:p>
    <w:p w:rsidR="00BC595B" w:rsidRPr="009B414F" w:rsidRDefault="00F04F55" w:rsidP="00A60E3E">
      <w:pPr>
        <w:tabs>
          <w:tab w:val="left" w:pos="6950"/>
        </w:tabs>
        <w:spacing w:after="0" w:line="240" w:lineRule="auto"/>
        <w:rPr>
          <w:sz w:val="18"/>
          <w:szCs w:val="18"/>
        </w:rPr>
      </w:pPr>
      <w:r w:rsidRPr="00F04F55">
        <w:rPr>
          <w:sz w:val="18"/>
          <w:szCs w:val="18"/>
        </w:rPr>
        <w:t xml:space="preserve">Harvard has been building application systems and network services for decades.  Unfortunately, it has become more and more laborious for users to navigate through these systems.  </w:t>
      </w:r>
      <w:proofErr w:type="spellStart"/>
      <w:r w:rsidRPr="00F04F55">
        <w:rPr>
          <w:sz w:val="18"/>
          <w:szCs w:val="18"/>
        </w:rPr>
        <w:t>HARVie</w:t>
      </w:r>
      <w:proofErr w:type="spellEnd"/>
      <w:r w:rsidRPr="00F04F55">
        <w:rPr>
          <w:sz w:val="18"/>
          <w:szCs w:val="18"/>
        </w:rPr>
        <w:t xml:space="preserve">, </w:t>
      </w:r>
      <w:proofErr w:type="spellStart"/>
      <w:r w:rsidRPr="00F04F55">
        <w:rPr>
          <w:sz w:val="18"/>
          <w:szCs w:val="18"/>
        </w:rPr>
        <w:t>Peoplesoft</w:t>
      </w:r>
      <w:proofErr w:type="spellEnd"/>
      <w:r w:rsidRPr="00F04F55">
        <w:rPr>
          <w:sz w:val="18"/>
          <w:szCs w:val="18"/>
        </w:rPr>
        <w:t xml:space="preserve"> HR, CREW, GMAS, </w:t>
      </w:r>
      <w:proofErr w:type="spellStart"/>
      <w:r w:rsidRPr="00F04F55">
        <w:rPr>
          <w:sz w:val="18"/>
          <w:szCs w:val="18"/>
        </w:rPr>
        <w:t>iSites</w:t>
      </w:r>
      <w:proofErr w:type="spellEnd"/>
      <w:r w:rsidRPr="00F04F55">
        <w:rPr>
          <w:sz w:val="18"/>
          <w:szCs w:val="18"/>
        </w:rPr>
        <w:t>/</w:t>
      </w:r>
      <w:proofErr w:type="spellStart"/>
      <w:r w:rsidRPr="00F04F55">
        <w:rPr>
          <w:sz w:val="18"/>
          <w:szCs w:val="18"/>
        </w:rPr>
        <w:t>iCommons</w:t>
      </w:r>
      <w:proofErr w:type="spellEnd"/>
      <w:r w:rsidRPr="00F04F55">
        <w:rPr>
          <w:sz w:val="18"/>
          <w:szCs w:val="18"/>
        </w:rPr>
        <w:t>, Hollis – the acronyms and web links are hard to remember, much less each user id and password combination.</w:t>
      </w:r>
    </w:p>
    <w:p w:rsidR="008810A5" w:rsidRPr="009B414F" w:rsidRDefault="008810A5" w:rsidP="00A60E3E">
      <w:pPr>
        <w:tabs>
          <w:tab w:val="left" w:pos="6950"/>
        </w:tabs>
        <w:spacing w:after="0" w:line="240" w:lineRule="auto"/>
        <w:rPr>
          <w:sz w:val="18"/>
          <w:szCs w:val="18"/>
        </w:rPr>
      </w:pPr>
    </w:p>
    <w:p w:rsidR="008810A5" w:rsidRPr="009B414F" w:rsidRDefault="00F04F55" w:rsidP="00A60E3E">
      <w:pPr>
        <w:tabs>
          <w:tab w:val="left" w:pos="6950"/>
        </w:tabs>
        <w:spacing w:after="0" w:line="240" w:lineRule="auto"/>
        <w:rPr>
          <w:sz w:val="18"/>
          <w:szCs w:val="18"/>
        </w:rPr>
      </w:pPr>
      <w:r w:rsidRPr="00F04F55">
        <w:rPr>
          <w:sz w:val="18"/>
          <w:szCs w:val="18"/>
        </w:rPr>
        <w:t xml:space="preserve">That’s why the IAM program came up with an innovative solution for using your </w:t>
      </w:r>
      <w:r w:rsidRPr="00F04F55">
        <w:rPr>
          <w:sz w:val="18"/>
          <w:szCs w:val="18"/>
          <w:u w:val="single"/>
        </w:rPr>
        <w:t>native</w:t>
      </w:r>
      <w:r w:rsidRPr="00F04F55">
        <w:rPr>
          <w:sz w:val="18"/>
          <w:szCs w:val="18"/>
        </w:rPr>
        <w:t xml:space="preserve"> School, department or affiliated organization’s </w:t>
      </w:r>
      <w:r w:rsidRPr="00F04F55">
        <w:rPr>
          <w:sz w:val="18"/>
          <w:szCs w:val="18"/>
          <w:u w:val="single"/>
        </w:rPr>
        <w:t>credentials</w:t>
      </w:r>
      <w:r w:rsidRPr="00F04F55">
        <w:rPr>
          <w:sz w:val="18"/>
          <w:szCs w:val="18"/>
        </w:rPr>
        <w:t xml:space="preserve"> to be able to login into these University central systems and services.  Trust negotiation in identity management has been on many vendor and product roadmaps, and is finally becoming a reality between organizations.  Harvard IAM introduced a new service in January 2014.</w:t>
      </w:r>
    </w:p>
    <w:p w:rsidR="00BC595B" w:rsidRPr="000A3ACC" w:rsidRDefault="00BC595B" w:rsidP="00A60E3E">
      <w:pPr>
        <w:tabs>
          <w:tab w:val="left" w:pos="6950"/>
        </w:tabs>
        <w:spacing w:after="0" w:line="240" w:lineRule="auto"/>
        <w:rPr>
          <w:sz w:val="18"/>
          <w:szCs w:val="18"/>
        </w:rPr>
      </w:pPr>
    </w:p>
    <w:p w:rsidR="00BC595B" w:rsidRPr="000A3ACC" w:rsidRDefault="00BC595B" w:rsidP="00A60E3E">
      <w:pPr>
        <w:tabs>
          <w:tab w:val="left" w:pos="6950"/>
        </w:tabs>
        <w:spacing w:after="0" w:line="240" w:lineRule="auto"/>
        <w:rPr>
          <w:color w:val="800000"/>
          <w:sz w:val="18"/>
          <w:szCs w:val="18"/>
        </w:rPr>
      </w:pPr>
      <w:r w:rsidRPr="000A3ACC">
        <w:rPr>
          <w:color w:val="800000"/>
          <w:sz w:val="18"/>
          <w:szCs w:val="18"/>
        </w:rPr>
        <w:t>The Problem</w:t>
      </w:r>
    </w:p>
    <w:p w:rsidR="00BC595B" w:rsidRPr="000A3ACC" w:rsidRDefault="00BC595B" w:rsidP="00A60E3E">
      <w:pPr>
        <w:tabs>
          <w:tab w:val="left" w:pos="6950"/>
        </w:tabs>
        <w:spacing w:after="0" w:line="240" w:lineRule="auto"/>
        <w:rPr>
          <w:sz w:val="18"/>
          <w:szCs w:val="18"/>
        </w:rPr>
      </w:pPr>
    </w:p>
    <w:p w:rsidR="00BC595B" w:rsidRPr="000A3ACC" w:rsidRDefault="00EF6479" w:rsidP="00A60E3E">
      <w:pPr>
        <w:tabs>
          <w:tab w:val="left" w:pos="6950"/>
        </w:tabs>
        <w:spacing w:after="0" w:line="240" w:lineRule="auto"/>
        <w:rPr>
          <w:sz w:val="18"/>
          <w:szCs w:val="18"/>
        </w:rPr>
      </w:pPr>
      <w:r w:rsidRPr="000A3ACC">
        <w:rPr>
          <w:sz w:val="18"/>
          <w:szCs w:val="18"/>
        </w:rPr>
        <w:t>People at the Harvard Medical School want to use their native credentials to log in</w:t>
      </w:r>
      <w:r w:rsidR="006D5C98" w:rsidRPr="000A3ACC">
        <w:rPr>
          <w:sz w:val="18"/>
          <w:szCs w:val="18"/>
        </w:rPr>
        <w:t xml:space="preserve"> </w:t>
      </w:r>
      <w:r w:rsidRPr="000A3ACC">
        <w:rPr>
          <w:sz w:val="18"/>
          <w:szCs w:val="18"/>
        </w:rPr>
        <w:t>to University applications and network services</w:t>
      </w:r>
      <w:r w:rsidR="000955F2" w:rsidRPr="000A3ACC">
        <w:rPr>
          <w:sz w:val="18"/>
          <w:szCs w:val="18"/>
        </w:rPr>
        <w:t xml:space="preserve"> such as PeopleSoft.</w:t>
      </w:r>
      <w:r w:rsidR="000A5618" w:rsidRPr="000A3ACC">
        <w:rPr>
          <w:sz w:val="18"/>
          <w:szCs w:val="18"/>
        </w:rPr>
        <w:t xml:space="preserve">  </w:t>
      </w:r>
      <w:r w:rsidR="00AF780A" w:rsidRPr="000A3ACC">
        <w:rPr>
          <w:sz w:val="18"/>
          <w:szCs w:val="18"/>
        </w:rPr>
        <w:t xml:space="preserve">Faculty of Arts and Sciences </w:t>
      </w:r>
      <w:r w:rsidR="00DC2648" w:rsidRPr="000A3ACC">
        <w:rPr>
          <w:sz w:val="18"/>
          <w:szCs w:val="18"/>
        </w:rPr>
        <w:t xml:space="preserve">(FAS) </w:t>
      </w:r>
      <w:r w:rsidR="00AF780A" w:rsidRPr="000A3ACC">
        <w:rPr>
          <w:sz w:val="18"/>
          <w:szCs w:val="18"/>
        </w:rPr>
        <w:t>users</w:t>
      </w:r>
      <w:r w:rsidR="00DC2648" w:rsidRPr="000A3ACC">
        <w:rPr>
          <w:sz w:val="18"/>
          <w:szCs w:val="18"/>
        </w:rPr>
        <w:t xml:space="preserve"> want to use their School user id and password to access GMAS, </w:t>
      </w:r>
      <w:proofErr w:type="spellStart"/>
      <w:r w:rsidR="00DC2648" w:rsidRPr="000A3ACC">
        <w:rPr>
          <w:sz w:val="18"/>
          <w:szCs w:val="18"/>
        </w:rPr>
        <w:t>HARVie</w:t>
      </w:r>
      <w:proofErr w:type="spellEnd"/>
      <w:r w:rsidR="00DC2648" w:rsidRPr="000A3ACC">
        <w:rPr>
          <w:sz w:val="18"/>
          <w:szCs w:val="18"/>
        </w:rPr>
        <w:t xml:space="preserve"> and many other Central Administration systems.</w:t>
      </w:r>
    </w:p>
    <w:p w:rsidR="00DC2648" w:rsidRPr="000A3ACC" w:rsidRDefault="00DC2648" w:rsidP="00A60E3E">
      <w:pPr>
        <w:tabs>
          <w:tab w:val="left" w:pos="6950"/>
        </w:tabs>
        <w:spacing w:after="0" w:line="240" w:lineRule="auto"/>
        <w:rPr>
          <w:sz w:val="18"/>
          <w:szCs w:val="18"/>
        </w:rPr>
      </w:pPr>
    </w:p>
    <w:p w:rsidR="00DC2648" w:rsidRPr="000A3ACC" w:rsidRDefault="004C415E" w:rsidP="00A60E3E">
      <w:pPr>
        <w:tabs>
          <w:tab w:val="left" w:pos="6950"/>
        </w:tabs>
        <w:spacing w:after="0" w:line="240" w:lineRule="auto"/>
        <w:rPr>
          <w:sz w:val="18"/>
          <w:szCs w:val="18"/>
        </w:rPr>
      </w:pPr>
      <w:r w:rsidRPr="000A3ACC">
        <w:rPr>
          <w:sz w:val="18"/>
          <w:szCs w:val="18"/>
        </w:rPr>
        <w:t xml:space="preserve">People have </w:t>
      </w:r>
      <w:r w:rsidR="00C218F9">
        <w:rPr>
          <w:sz w:val="18"/>
          <w:szCs w:val="18"/>
        </w:rPr>
        <w:t>employed manual techniques for memorizing or documenting the high volume</w:t>
      </w:r>
      <w:r w:rsidRPr="000A3ACC">
        <w:rPr>
          <w:sz w:val="18"/>
          <w:szCs w:val="18"/>
        </w:rPr>
        <w:t xml:space="preserve"> </w:t>
      </w:r>
      <w:r w:rsidR="00C218F9">
        <w:rPr>
          <w:sz w:val="18"/>
          <w:szCs w:val="18"/>
        </w:rPr>
        <w:t>of user ids and passwords</w:t>
      </w:r>
      <w:r w:rsidR="001679BB" w:rsidRPr="000A3ACC">
        <w:rPr>
          <w:sz w:val="18"/>
          <w:szCs w:val="18"/>
        </w:rPr>
        <w:t xml:space="preserve"> </w:t>
      </w:r>
      <w:r w:rsidR="00C218F9">
        <w:rPr>
          <w:sz w:val="18"/>
          <w:szCs w:val="18"/>
        </w:rPr>
        <w:t xml:space="preserve">needed </w:t>
      </w:r>
      <w:r w:rsidR="001679BB" w:rsidRPr="000A3ACC">
        <w:rPr>
          <w:sz w:val="18"/>
          <w:szCs w:val="18"/>
        </w:rPr>
        <w:t>to gain access to other University and School applications.  One member of the IAM program team carr</w:t>
      </w:r>
      <w:r w:rsidR="00F85889" w:rsidRPr="000A3ACC">
        <w:rPr>
          <w:sz w:val="18"/>
          <w:szCs w:val="18"/>
        </w:rPr>
        <w:t xml:space="preserve">ies around an Excel spreadsheet with </w:t>
      </w:r>
      <w:r w:rsidR="001517CC" w:rsidRPr="000A3ACC">
        <w:rPr>
          <w:sz w:val="18"/>
          <w:szCs w:val="18"/>
        </w:rPr>
        <w:t xml:space="preserve">almost 100 sets of credentials. </w:t>
      </w:r>
    </w:p>
    <w:p w:rsidR="00BC595B" w:rsidRPr="000A3ACC" w:rsidRDefault="00BC595B" w:rsidP="00A60E3E">
      <w:pPr>
        <w:tabs>
          <w:tab w:val="left" w:pos="6950"/>
        </w:tabs>
        <w:spacing w:after="0" w:line="240" w:lineRule="auto"/>
        <w:rPr>
          <w:sz w:val="18"/>
          <w:szCs w:val="18"/>
        </w:rPr>
      </w:pPr>
    </w:p>
    <w:p w:rsidR="00BC595B" w:rsidRPr="000A3ACC" w:rsidRDefault="0081398F" w:rsidP="00A60E3E">
      <w:pPr>
        <w:tabs>
          <w:tab w:val="left" w:pos="6950"/>
        </w:tabs>
        <w:spacing w:after="0" w:line="240" w:lineRule="auto"/>
        <w:rPr>
          <w:sz w:val="18"/>
          <w:szCs w:val="18"/>
        </w:rPr>
      </w:pPr>
      <w:r w:rsidRPr="000A3ACC">
        <w:rPr>
          <w:sz w:val="18"/>
          <w:szCs w:val="18"/>
        </w:rPr>
        <w:t>Because of these problems, users have lost productivity.</w:t>
      </w:r>
      <w:r w:rsidR="00F129DC" w:rsidRPr="000A3ACC">
        <w:rPr>
          <w:sz w:val="18"/>
          <w:szCs w:val="18"/>
        </w:rPr>
        <w:t xml:space="preserve">  Their experience is frustrating and confusing.</w:t>
      </w:r>
      <w:r w:rsidR="008F28C7" w:rsidRPr="000A3ACC">
        <w:rPr>
          <w:sz w:val="18"/>
          <w:szCs w:val="18"/>
        </w:rPr>
        <w:t xml:space="preserve">  </w:t>
      </w:r>
      <w:r w:rsidR="00263849">
        <w:rPr>
          <w:sz w:val="18"/>
          <w:szCs w:val="18"/>
        </w:rPr>
        <w:t>Importantly,</w:t>
      </w:r>
      <w:r w:rsidR="008F28C7" w:rsidRPr="000A3ACC">
        <w:rPr>
          <w:sz w:val="18"/>
          <w:szCs w:val="18"/>
        </w:rPr>
        <w:t xml:space="preserve"> security and privacy </w:t>
      </w:r>
      <w:r w:rsidR="004A4FD8" w:rsidRPr="000A3ACC">
        <w:rPr>
          <w:sz w:val="18"/>
          <w:szCs w:val="18"/>
        </w:rPr>
        <w:t xml:space="preserve">can </w:t>
      </w:r>
      <w:r w:rsidR="00263849">
        <w:rPr>
          <w:sz w:val="18"/>
          <w:szCs w:val="18"/>
        </w:rPr>
        <w:t xml:space="preserve">also </w:t>
      </w:r>
      <w:r w:rsidR="004A4FD8" w:rsidRPr="000A3ACC">
        <w:rPr>
          <w:sz w:val="18"/>
          <w:szCs w:val="18"/>
        </w:rPr>
        <w:t>be easily compromised.</w:t>
      </w:r>
    </w:p>
    <w:p w:rsidR="00BC595B" w:rsidRPr="000A3ACC" w:rsidRDefault="00BC595B" w:rsidP="00A60E3E">
      <w:pPr>
        <w:tabs>
          <w:tab w:val="left" w:pos="6950"/>
        </w:tabs>
        <w:spacing w:after="0" w:line="240" w:lineRule="auto"/>
        <w:rPr>
          <w:color w:val="800000"/>
          <w:sz w:val="18"/>
          <w:szCs w:val="18"/>
        </w:rPr>
      </w:pPr>
    </w:p>
    <w:p w:rsidR="00BC595B" w:rsidRPr="000A3ACC" w:rsidRDefault="00BC595B" w:rsidP="00A60E3E">
      <w:pPr>
        <w:tabs>
          <w:tab w:val="left" w:pos="6950"/>
        </w:tabs>
        <w:spacing w:after="0" w:line="240" w:lineRule="auto"/>
        <w:rPr>
          <w:color w:val="800000"/>
          <w:sz w:val="18"/>
          <w:szCs w:val="18"/>
        </w:rPr>
      </w:pPr>
      <w:r w:rsidRPr="000A3ACC">
        <w:rPr>
          <w:color w:val="800000"/>
          <w:sz w:val="18"/>
          <w:szCs w:val="18"/>
        </w:rPr>
        <w:t>The Solution</w:t>
      </w:r>
    </w:p>
    <w:p w:rsidR="00BC595B" w:rsidRPr="000A3ACC" w:rsidRDefault="00BC595B" w:rsidP="00A60E3E">
      <w:pPr>
        <w:tabs>
          <w:tab w:val="left" w:pos="6950"/>
        </w:tabs>
        <w:spacing w:after="0" w:line="240" w:lineRule="auto"/>
        <w:rPr>
          <w:sz w:val="18"/>
          <w:szCs w:val="18"/>
        </w:rPr>
      </w:pPr>
    </w:p>
    <w:p w:rsidR="00BC595B" w:rsidRPr="000A3ACC" w:rsidRDefault="007F421E" w:rsidP="00A60E3E">
      <w:pPr>
        <w:tabs>
          <w:tab w:val="left" w:pos="6950"/>
        </w:tabs>
        <w:spacing w:after="0" w:line="240" w:lineRule="auto"/>
        <w:rPr>
          <w:sz w:val="18"/>
          <w:szCs w:val="18"/>
        </w:rPr>
      </w:pPr>
      <w:r w:rsidRPr="000A3ACC">
        <w:rPr>
          <w:sz w:val="18"/>
          <w:szCs w:val="18"/>
        </w:rPr>
        <w:t>“One Way Federation”</w:t>
      </w:r>
      <w:r w:rsidR="00FB2DF0" w:rsidRPr="000A3ACC">
        <w:rPr>
          <w:sz w:val="18"/>
          <w:szCs w:val="18"/>
        </w:rPr>
        <w:t xml:space="preserve"> (OWF) is</w:t>
      </w:r>
      <w:r w:rsidRPr="000A3ACC">
        <w:rPr>
          <w:sz w:val="18"/>
          <w:szCs w:val="18"/>
        </w:rPr>
        <w:t xml:space="preserve"> an enhancement to the </w:t>
      </w:r>
      <w:r w:rsidR="00FB2DF0" w:rsidRPr="000A3ACC">
        <w:rPr>
          <w:sz w:val="18"/>
          <w:szCs w:val="18"/>
        </w:rPr>
        <w:t>Harvard Personal Identification Number (PIN) system</w:t>
      </w:r>
      <w:r w:rsidR="009B414F">
        <w:rPr>
          <w:sz w:val="18"/>
          <w:szCs w:val="18"/>
        </w:rPr>
        <w:t xml:space="preserve">. </w:t>
      </w:r>
      <w:r w:rsidR="003C7A76">
        <w:rPr>
          <w:sz w:val="18"/>
          <w:szCs w:val="18"/>
        </w:rPr>
        <w:t xml:space="preserve"> </w:t>
      </w:r>
      <w:r w:rsidR="00D35FA8" w:rsidRPr="000A3ACC">
        <w:rPr>
          <w:sz w:val="18"/>
          <w:szCs w:val="18"/>
        </w:rPr>
        <w:t xml:space="preserve">As of early January 2014, </w:t>
      </w:r>
      <w:r w:rsidR="008C7E86" w:rsidRPr="000A3ACC">
        <w:rPr>
          <w:sz w:val="18"/>
          <w:szCs w:val="18"/>
        </w:rPr>
        <w:t>OWF is now operative in PIN2</w:t>
      </w:r>
      <w:r w:rsidR="00D35FA8" w:rsidRPr="000A3ACC">
        <w:rPr>
          <w:sz w:val="18"/>
          <w:szCs w:val="18"/>
        </w:rPr>
        <w:t>.</w:t>
      </w:r>
    </w:p>
    <w:p w:rsidR="00D35FA8" w:rsidRPr="000A3ACC" w:rsidRDefault="00D35FA8" w:rsidP="00A60E3E">
      <w:pPr>
        <w:tabs>
          <w:tab w:val="left" w:pos="6950"/>
        </w:tabs>
        <w:spacing w:after="0" w:line="240" w:lineRule="auto"/>
        <w:rPr>
          <w:sz w:val="18"/>
          <w:szCs w:val="18"/>
        </w:rPr>
      </w:pPr>
    </w:p>
    <w:p w:rsidR="00D35FA8" w:rsidRDefault="00D35FA8" w:rsidP="00A60E3E">
      <w:pPr>
        <w:tabs>
          <w:tab w:val="left" w:pos="6950"/>
        </w:tabs>
        <w:spacing w:after="0" w:line="240" w:lineRule="auto"/>
        <w:rPr>
          <w:sz w:val="18"/>
          <w:szCs w:val="18"/>
        </w:rPr>
      </w:pPr>
      <w:r w:rsidRPr="000A3ACC">
        <w:rPr>
          <w:sz w:val="18"/>
          <w:szCs w:val="18"/>
        </w:rPr>
        <w:t xml:space="preserve">OWF allows HMS users to </w:t>
      </w:r>
      <w:r w:rsidR="00B857ED" w:rsidRPr="000A3ACC">
        <w:rPr>
          <w:sz w:val="18"/>
          <w:szCs w:val="18"/>
        </w:rPr>
        <w:t>enter</w:t>
      </w:r>
      <w:r w:rsidRPr="000A3ACC">
        <w:rPr>
          <w:sz w:val="18"/>
          <w:szCs w:val="18"/>
        </w:rPr>
        <w:t xml:space="preserve"> their </w:t>
      </w:r>
      <w:proofErr w:type="spellStart"/>
      <w:r w:rsidRPr="000A3ACC">
        <w:rPr>
          <w:sz w:val="18"/>
          <w:szCs w:val="18"/>
        </w:rPr>
        <w:t>eCommons</w:t>
      </w:r>
      <w:proofErr w:type="spellEnd"/>
      <w:r w:rsidRPr="000A3ACC">
        <w:rPr>
          <w:sz w:val="18"/>
          <w:szCs w:val="18"/>
        </w:rPr>
        <w:t xml:space="preserve"> name and password to access </w:t>
      </w:r>
      <w:r w:rsidR="00B20AC4" w:rsidRPr="000A3ACC">
        <w:rPr>
          <w:sz w:val="18"/>
          <w:szCs w:val="18"/>
        </w:rPr>
        <w:t xml:space="preserve">PIN2 apps such as PeopleSoft HR.  OWF also allows FAS and </w:t>
      </w:r>
      <w:r w:rsidR="001121CA" w:rsidRPr="000A3ACC">
        <w:rPr>
          <w:sz w:val="18"/>
          <w:szCs w:val="18"/>
        </w:rPr>
        <w:t xml:space="preserve">Central Admin users to enter the username and password for desktop and email access </w:t>
      </w:r>
      <w:r w:rsidR="00B857ED" w:rsidRPr="000A3ACC">
        <w:rPr>
          <w:sz w:val="18"/>
          <w:szCs w:val="18"/>
        </w:rPr>
        <w:t xml:space="preserve">for PIN2 enabled applications.  This eliminates the need </w:t>
      </w:r>
      <w:r w:rsidR="00263849">
        <w:rPr>
          <w:sz w:val="18"/>
          <w:szCs w:val="18"/>
        </w:rPr>
        <w:t xml:space="preserve">for users </w:t>
      </w:r>
      <w:r w:rsidR="00B857ED" w:rsidRPr="000A3ACC">
        <w:rPr>
          <w:sz w:val="18"/>
          <w:szCs w:val="18"/>
        </w:rPr>
        <w:t xml:space="preserve">to remember </w:t>
      </w:r>
      <w:r w:rsidR="00263849">
        <w:rPr>
          <w:sz w:val="18"/>
          <w:szCs w:val="18"/>
        </w:rPr>
        <w:t>their</w:t>
      </w:r>
      <w:r w:rsidR="00B857ED" w:rsidRPr="000A3ACC">
        <w:rPr>
          <w:sz w:val="18"/>
          <w:szCs w:val="18"/>
        </w:rPr>
        <w:t xml:space="preserve"> HUID and associated PIN2 password</w:t>
      </w:r>
      <w:r w:rsidR="00263849">
        <w:rPr>
          <w:sz w:val="18"/>
          <w:szCs w:val="18"/>
        </w:rPr>
        <w:t>s</w:t>
      </w:r>
      <w:r w:rsidR="00B857ED" w:rsidRPr="000A3ACC">
        <w:rPr>
          <w:sz w:val="18"/>
          <w:szCs w:val="18"/>
        </w:rPr>
        <w:t>.</w:t>
      </w:r>
    </w:p>
    <w:p w:rsidR="00FF642C" w:rsidRPr="000A3ACC" w:rsidRDefault="00FF642C" w:rsidP="00A60E3E">
      <w:pPr>
        <w:tabs>
          <w:tab w:val="left" w:pos="6950"/>
        </w:tabs>
        <w:spacing w:after="0" w:line="240" w:lineRule="auto"/>
        <w:rPr>
          <w:sz w:val="18"/>
          <w:szCs w:val="18"/>
        </w:rPr>
      </w:pPr>
    </w:p>
    <w:p w:rsidR="00B857ED" w:rsidRDefault="00B17808" w:rsidP="00A60E3E">
      <w:pPr>
        <w:tabs>
          <w:tab w:val="left" w:pos="6950"/>
        </w:tabs>
        <w:spacing w:after="0" w:line="240" w:lineRule="auto"/>
        <w:rPr>
          <w:sz w:val="18"/>
          <w:szCs w:val="18"/>
        </w:rPr>
      </w:pPr>
      <w:r w:rsidRPr="000A3ACC">
        <w:rPr>
          <w:sz w:val="18"/>
          <w:szCs w:val="18"/>
        </w:rPr>
        <w:t>Harvard Schools,</w:t>
      </w:r>
      <w:r w:rsidR="00263849">
        <w:rPr>
          <w:sz w:val="18"/>
          <w:szCs w:val="18"/>
        </w:rPr>
        <w:t xml:space="preserve"> </w:t>
      </w:r>
      <w:r w:rsidRPr="000A3ACC">
        <w:rPr>
          <w:sz w:val="18"/>
          <w:szCs w:val="18"/>
        </w:rPr>
        <w:t>departments</w:t>
      </w:r>
      <w:r w:rsidR="0061380E" w:rsidRPr="000A3ACC">
        <w:rPr>
          <w:sz w:val="18"/>
          <w:szCs w:val="18"/>
        </w:rPr>
        <w:t>,</w:t>
      </w:r>
      <w:r w:rsidRPr="000A3ACC">
        <w:rPr>
          <w:sz w:val="18"/>
          <w:szCs w:val="18"/>
        </w:rPr>
        <w:t xml:space="preserve"> and affiliates can now choose to integrate with the OWF facility</w:t>
      </w:r>
      <w:r w:rsidR="00FF642C">
        <w:rPr>
          <w:sz w:val="18"/>
          <w:szCs w:val="18"/>
        </w:rPr>
        <w:t xml:space="preserve">.  The IAM program is staffed and ready to </w:t>
      </w:r>
      <w:r w:rsidR="00154A8C">
        <w:rPr>
          <w:sz w:val="18"/>
          <w:szCs w:val="18"/>
        </w:rPr>
        <w:t>add other native credentials to PIN</w:t>
      </w:r>
      <w:r w:rsidR="00704465">
        <w:rPr>
          <w:sz w:val="18"/>
          <w:szCs w:val="18"/>
        </w:rPr>
        <w:t>s</w:t>
      </w:r>
      <w:r w:rsidR="00150FAC">
        <w:rPr>
          <w:sz w:val="18"/>
          <w:szCs w:val="18"/>
        </w:rPr>
        <w:t>.  A</w:t>
      </w:r>
      <w:r w:rsidR="00154A8C">
        <w:rPr>
          <w:sz w:val="18"/>
          <w:szCs w:val="18"/>
        </w:rPr>
        <w:t>dditional “federation” services</w:t>
      </w:r>
      <w:r w:rsidR="003C7A76">
        <w:rPr>
          <w:sz w:val="18"/>
          <w:szCs w:val="18"/>
        </w:rPr>
        <w:t xml:space="preserve"> and trusts exist when</w:t>
      </w:r>
      <w:r w:rsidR="00150FAC">
        <w:rPr>
          <w:sz w:val="18"/>
          <w:szCs w:val="18"/>
        </w:rPr>
        <w:t xml:space="preserve"> you click on one of the case studies at: </w:t>
      </w:r>
      <w:hyperlink r:id="rId8" w:history="1">
        <w:r w:rsidR="00150FAC" w:rsidRPr="00CF1609">
          <w:rPr>
            <w:rStyle w:val="Hyperlink"/>
            <w:sz w:val="18"/>
            <w:szCs w:val="18"/>
          </w:rPr>
          <w:t>http://www.incommon.org/federation/cases.html</w:t>
        </w:r>
      </w:hyperlink>
      <w:r w:rsidR="00150FAC">
        <w:rPr>
          <w:sz w:val="18"/>
          <w:szCs w:val="18"/>
        </w:rPr>
        <w:t xml:space="preserve"> </w:t>
      </w:r>
    </w:p>
    <w:p w:rsidR="00A60E3E" w:rsidRPr="000A3ACC" w:rsidRDefault="00A60E3E" w:rsidP="00A60E3E">
      <w:pPr>
        <w:tabs>
          <w:tab w:val="left" w:pos="6950"/>
        </w:tabs>
        <w:spacing w:after="0" w:line="240" w:lineRule="auto"/>
        <w:rPr>
          <w:sz w:val="18"/>
          <w:szCs w:val="18"/>
        </w:rPr>
      </w:pPr>
    </w:p>
    <w:p w:rsidR="00BC595B" w:rsidRPr="008F3D08" w:rsidRDefault="0061380E" w:rsidP="001E470F">
      <w:pPr>
        <w:tabs>
          <w:tab w:val="left" w:pos="695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You will notice</w:t>
      </w:r>
      <w:r w:rsidR="002017C3">
        <w:rPr>
          <w:sz w:val="18"/>
          <w:szCs w:val="18"/>
        </w:rPr>
        <w:t>, on t</w:t>
      </w:r>
      <w:r w:rsidR="000A3ACC">
        <w:rPr>
          <w:sz w:val="18"/>
          <w:szCs w:val="18"/>
        </w:rPr>
        <w:t xml:space="preserve">he landing page depicted </w:t>
      </w:r>
      <w:r w:rsidR="00FF642C">
        <w:rPr>
          <w:sz w:val="18"/>
          <w:szCs w:val="18"/>
        </w:rPr>
        <w:t>above right</w:t>
      </w:r>
      <w:r w:rsidR="000A3ACC">
        <w:rPr>
          <w:sz w:val="18"/>
          <w:szCs w:val="18"/>
        </w:rPr>
        <w:t>,</w:t>
      </w:r>
      <w:r>
        <w:rPr>
          <w:sz w:val="18"/>
          <w:szCs w:val="18"/>
        </w:rPr>
        <w:t xml:space="preserve"> two new radial buttons for the PIN system.  </w:t>
      </w:r>
      <w:r w:rsidR="002017C3">
        <w:rPr>
          <w:sz w:val="18"/>
          <w:szCs w:val="18"/>
        </w:rPr>
        <w:t>It is as simple as clicking one of those radial buttons and re-entering your native credentials:</w:t>
      </w:r>
    </w:p>
    <w:p w:rsidR="00BC595B" w:rsidRPr="008F3D08" w:rsidRDefault="00BC595B" w:rsidP="001E470F">
      <w:pPr>
        <w:tabs>
          <w:tab w:val="left" w:pos="6950"/>
        </w:tabs>
        <w:spacing w:after="0"/>
        <w:rPr>
          <w:sz w:val="18"/>
          <w:szCs w:val="18"/>
        </w:rPr>
      </w:pPr>
    </w:p>
    <w:p w:rsidR="005913F3" w:rsidRPr="008F3D08" w:rsidRDefault="00D207F2" w:rsidP="001E470F">
      <w:pPr>
        <w:tabs>
          <w:tab w:val="left" w:pos="6950"/>
        </w:tabs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804160" cy="226187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26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595B" w:rsidRDefault="00F40665" w:rsidP="00A60E3E">
      <w:pPr>
        <w:spacing w:after="0" w:line="240" w:lineRule="auto"/>
        <w:rPr>
          <w:color w:val="000000"/>
        </w:rPr>
      </w:pPr>
      <w:r>
        <w:rPr>
          <w:sz w:val="18"/>
          <w:szCs w:val="18"/>
        </w:rPr>
        <w:t>Harvard application owners do not need to take any action to enable this new option for users.  PIN2 takes care of this automatically.</w:t>
      </w:r>
      <w:r w:rsidR="000A52EA">
        <w:rPr>
          <w:sz w:val="18"/>
          <w:szCs w:val="18"/>
        </w:rPr>
        <w:t xml:space="preserve">  </w:t>
      </w:r>
      <w:r w:rsidR="009750D7">
        <w:rPr>
          <w:sz w:val="18"/>
          <w:szCs w:val="18"/>
        </w:rPr>
        <w:t xml:space="preserve">Also, users can choose to continue to login to </w:t>
      </w:r>
      <w:r w:rsidR="00047AA2">
        <w:rPr>
          <w:sz w:val="18"/>
          <w:szCs w:val="18"/>
        </w:rPr>
        <w:t>their</w:t>
      </w:r>
      <w:r w:rsidR="009750D7">
        <w:rPr>
          <w:sz w:val="18"/>
          <w:szCs w:val="18"/>
        </w:rPr>
        <w:t xml:space="preserve"> application</w:t>
      </w:r>
      <w:r w:rsidR="00047AA2">
        <w:rPr>
          <w:sz w:val="18"/>
          <w:szCs w:val="18"/>
        </w:rPr>
        <w:t>s</w:t>
      </w:r>
      <w:r w:rsidR="009750D7">
        <w:rPr>
          <w:sz w:val="18"/>
          <w:szCs w:val="18"/>
        </w:rPr>
        <w:t xml:space="preserve"> with </w:t>
      </w:r>
      <w:r w:rsidR="0069723C">
        <w:rPr>
          <w:sz w:val="18"/>
          <w:szCs w:val="18"/>
        </w:rPr>
        <w:t>their HUID and PIN/password.  If you are interest</w:t>
      </w:r>
      <w:r w:rsidR="009B414F">
        <w:rPr>
          <w:sz w:val="18"/>
          <w:szCs w:val="18"/>
        </w:rPr>
        <w:t>ed in</w:t>
      </w:r>
      <w:r w:rsidR="0069723C">
        <w:rPr>
          <w:sz w:val="18"/>
          <w:szCs w:val="18"/>
        </w:rPr>
        <w:t xml:space="preserve"> these exciting developments, monitor the IAM program </w:t>
      </w:r>
      <w:r w:rsidR="009B414F">
        <w:rPr>
          <w:sz w:val="18"/>
          <w:szCs w:val="18"/>
        </w:rPr>
        <w:t>website</w:t>
      </w:r>
      <w:r w:rsidR="0069723C">
        <w:rPr>
          <w:sz w:val="18"/>
          <w:szCs w:val="18"/>
        </w:rPr>
        <w:t xml:space="preserve">; </w:t>
      </w:r>
      <w:hyperlink r:id="rId10" w:history="1">
        <w:r w:rsidR="009B414F" w:rsidRPr="00CF1609">
          <w:rPr>
            <w:rStyle w:val="Hyperlink"/>
            <w:rFonts w:eastAsiaTheme="majorEastAsia" w:cstheme="majorBidi"/>
          </w:rPr>
          <w:t>http://projects.iq.harvard.edu/iam</w:t>
        </w:r>
      </w:hyperlink>
    </w:p>
    <w:p w:rsidR="00DF516C" w:rsidRPr="00DF516C" w:rsidRDefault="00DF516C" w:rsidP="00A60E3E">
      <w:pPr>
        <w:spacing w:after="0" w:line="240" w:lineRule="auto"/>
        <w:rPr>
          <w:color w:val="000000"/>
        </w:rPr>
      </w:pPr>
    </w:p>
    <w:p w:rsidR="00A4493B" w:rsidRDefault="0067664C" w:rsidP="00A60E3E">
      <w:pPr>
        <w:tabs>
          <w:tab w:val="left" w:pos="6950"/>
        </w:tabs>
        <w:spacing w:after="0" w:line="240" w:lineRule="auto"/>
        <w:rPr>
          <w:color w:val="800000"/>
        </w:rPr>
      </w:pPr>
      <w:r>
        <w:rPr>
          <w:color w:val="800000"/>
        </w:rPr>
        <w:t>The Result</w:t>
      </w:r>
    </w:p>
    <w:p w:rsidR="00DF516C" w:rsidRPr="00DF516C" w:rsidRDefault="00DF516C" w:rsidP="00A60E3E">
      <w:pPr>
        <w:tabs>
          <w:tab w:val="left" w:pos="6950"/>
        </w:tabs>
        <w:spacing w:after="0" w:line="240" w:lineRule="auto"/>
        <w:rPr>
          <w:color w:val="800000"/>
        </w:rPr>
      </w:pPr>
    </w:p>
    <w:p w:rsidR="002C1A08" w:rsidRPr="002C1A08" w:rsidRDefault="00DF516C" w:rsidP="00A60E3E">
      <w:pPr>
        <w:spacing w:after="0" w:line="240" w:lineRule="auto"/>
        <w:rPr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CIO Rainer Fuchs of the Harvard Medical School </w:t>
      </w:r>
      <w:r w:rsidR="00E61701">
        <w:rPr>
          <w:rFonts w:ascii="Calibri" w:hAnsi="Calibri"/>
          <w:sz w:val="18"/>
          <w:szCs w:val="18"/>
        </w:rPr>
        <w:t>commented on OWF:  “</w:t>
      </w:r>
      <w:r w:rsidR="002C1A08" w:rsidRPr="002C1A08">
        <w:rPr>
          <w:rFonts w:ascii="Calibri" w:hAnsi="Calibri"/>
          <w:sz w:val="18"/>
          <w:szCs w:val="18"/>
        </w:rPr>
        <w:t xml:space="preserve">It’s particularly important for us at HMS. We have many local applications that need to be accessed by hospital-based individuals without HUIDs, which caused us to create </w:t>
      </w:r>
      <w:proofErr w:type="spellStart"/>
      <w:r w:rsidR="002C1A08" w:rsidRPr="002C1A08">
        <w:rPr>
          <w:rFonts w:ascii="Calibri" w:hAnsi="Calibri"/>
          <w:sz w:val="18"/>
          <w:szCs w:val="18"/>
        </w:rPr>
        <w:t>eCommons</w:t>
      </w:r>
      <w:proofErr w:type="spellEnd"/>
      <w:r w:rsidR="00B63DE5">
        <w:rPr>
          <w:rFonts w:ascii="Calibri" w:hAnsi="Calibri"/>
          <w:sz w:val="18"/>
          <w:szCs w:val="18"/>
        </w:rPr>
        <w:t xml:space="preserve"> IDs. They are easy to remember;</w:t>
      </w:r>
      <w:r w:rsidR="002C1A08" w:rsidRPr="002C1A08">
        <w:rPr>
          <w:rFonts w:ascii="Calibri" w:hAnsi="Calibri"/>
          <w:sz w:val="18"/>
          <w:szCs w:val="18"/>
        </w:rPr>
        <w:t xml:space="preserve"> e.g., rf82 in my case. At the same time, most people need to access PIN protected applications on a regular basis, with harder to memorize numeric HUIDs. </w:t>
      </w:r>
    </w:p>
    <w:p w:rsidR="002C1A08" w:rsidRPr="002C1A08" w:rsidRDefault="002C1A08" w:rsidP="00A60E3E">
      <w:pPr>
        <w:spacing w:after="0" w:line="240" w:lineRule="auto"/>
        <w:rPr>
          <w:sz w:val="18"/>
          <w:szCs w:val="18"/>
        </w:rPr>
      </w:pPr>
      <w:r w:rsidRPr="002C1A08">
        <w:rPr>
          <w:rFonts w:ascii="Calibri" w:hAnsi="Calibri"/>
          <w:sz w:val="18"/>
          <w:szCs w:val="18"/>
        </w:rPr>
        <w:t> </w:t>
      </w:r>
    </w:p>
    <w:p w:rsidR="009D65ED" w:rsidRDefault="002C1A08" w:rsidP="009D65ED">
      <w:pPr>
        <w:spacing w:after="0" w:line="240" w:lineRule="auto"/>
        <w:rPr>
          <w:rFonts w:ascii="Calibri" w:hAnsi="Calibri"/>
          <w:sz w:val="18"/>
          <w:szCs w:val="18"/>
        </w:rPr>
      </w:pPr>
      <w:r w:rsidRPr="002C1A08">
        <w:rPr>
          <w:rFonts w:ascii="Calibri" w:hAnsi="Calibri"/>
          <w:sz w:val="18"/>
          <w:szCs w:val="18"/>
        </w:rPr>
        <w:t xml:space="preserve">With the new one-way federation in place, users can now use the </w:t>
      </w:r>
      <w:proofErr w:type="spellStart"/>
      <w:r w:rsidRPr="002C1A08">
        <w:rPr>
          <w:rFonts w:ascii="Calibri" w:hAnsi="Calibri"/>
          <w:sz w:val="18"/>
          <w:szCs w:val="18"/>
        </w:rPr>
        <w:t>eCommons</w:t>
      </w:r>
      <w:proofErr w:type="spellEnd"/>
      <w:r w:rsidRPr="002C1A08">
        <w:rPr>
          <w:rFonts w:ascii="Calibri" w:hAnsi="Calibri"/>
          <w:sz w:val="18"/>
          <w:szCs w:val="18"/>
        </w:rPr>
        <w:t xml:space="preserve"> IDs they are familiar with to log in to all those applications. Not only does this simplify life for many employee</w:t>
      </w:r>
      <w:r w:rsidR="009152BE">
        <w:rPr>
          <w:rFonts w:ascii="Calibri" w:hAnsi="Calibri"/>
          <w:sz w:val="18"/>
          <w:szCs w:val="18"/>
        </w:rPr>
        <w:t>s</w:t>
      </w:r>
      <w:r w:rsidRPr="002C1A08">
        <w:rPr>
          <w:rFonts w:ascii="Calibri" w:hAnsi="Calibri"/>
          <w:sz w:val="18"/>
          <w:szCs w:val="18"/>
        </w:rPr>
        <w:t>, I believe it also improves security – no need any</w:t>
      </w:r>
      <w:r w:rsidR="009152BE">
        <w:rPr>
          <w:rFonts w:ascii="Calibri" w:hAnsi="Calibri"/>
          <w:sz w:val="18"/>
          <w:szCs w:val="18"/>
        </w:rPr>
        <w:t xml:space="preserve"> </w:t>
      </w:r>
      <w:r w:rsidRPr="002C1A08">
        <w:rPr>
          <w:rFonts w:ascii="Calibri" w:hAnsi="Calibri"/>
          <w:sz w:val="18"/>
          <w:szCs w:val="18"/>
        </w:rPr>
        <w:t>more to have Post</w:t>
      </w:r>
      <w:r w:rsidR="005A731C">
        <w:rPr>
          <w:rFonts w:ascii="Calibri" w:hAnsi="Calibri"/>
          <w:sz w:val="18"/>
          <w:szCs w:val="18"/>
        </w:rPr>
        <w:t>-</w:t>
      </w:r>
      <w:r w:rsidRPr="002C1A08">
        <w:rPr>
          <w:rFonts w:ascii="Calibri" w:hAnsi="Calibri"/>
          <w:sz w:val="18"/>
          <w:szCs w:val="18"/>
        </w:rPr>
        <w:t>It notes with user names and passwords stuck to your computer screen!</w:t>
      </w:r>
      <w:r w:rsidR="009152BE">
        <w:rPr>
          <w:rFonts w:ascii="Calibri" w:hAnsi="Calibri"/>
          <w:sz w:val="18"/>
          <w:szCs w:val="18"/>
        </w:rPr>
        <w:t>”</w:t>
      </w:r>
    </w:p>
    <w:p w:rsidR="008D3C66" w:rsidRPr="009D65ED" w:rsidRDefault="008D3C66" w:rsidP="009D65ED">
      <w:pPr>
        <w:spacing w:after="0" w:line="240" w:lineRule="auto"/>
        <w:rPr>
          <w:sz w:val="18"/>
          <w:szCs w:val="18"/>
        </w:rPr>
      </w:pPr>
    </w:p>
    <w:p w:rsidR="00A4493B" w:rsidRDefault="007F421E" w:rsidP="001E470F">
      <w:pPr>
        <w:tabs>
          <w:tab w:val="left" w:pos="6950"/>
        </w:tabs>
        <w:spacing w:after="0"/>
      </w:pPr>
      <w:r>
        <w:rPr>
          <w:noProof/>
        </w:rPr>
        <w:drawing>
          <wp:inline distT="0" distB="0" distL="0" distR="0">
            <wp:extent cx="2736850" cy="1485900"/>
            <wp:effectExtent l="0" t="0" r="6350" b="0"/>
            <wp:docPr id="1" name="Picture 1" descr="https://encrypted-tbn3.gstatic.com/images?q=tbn:ANd9GcSE4gMxFI0r-LJsIchjLb-xlrVqqDaF3oY367IzKY2HGlTBeAvv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E4gMxFI0r-LJsIchjLb-xlrVqqDaF3oY367IzKY2HGlTBeAvv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3B" w:rsidRPr="00081BED" w:rsidRDefault="00A4493B" w:rsidP="00081BED">
      <w:pPr>
        <w:tabs>
          <w:tab w:val="left" w:pos="6950"/>
        </w:tabs>
        <w:spacing w:after="0" w:line="240" w:lineRule="auto"/>
        <w:rPr>
          <w:sz w:val="18"/>
          <w:szCs w:val="18"/>
        </w:rPr>
      </w:pPr>
    </w:p>
    <w:p w:rsidR="0060722C" w:rsidRPr="008F3D08" w:rsidRDefault="005B7DCC" w:rsidP="00C57A8A">
      <w:pPr>
        <w:tabs>
          <w:tab w:val="left" w:pos="695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IAM Program Director Jason Snyder</w:t>
      </w:r>
      <w:r w:rsidR="00174ED2">
        <w:rPr>
          <w:sz w:val="18"/>
          <w:szCs w:val="18"/>
        </w:rPr>
        <w:t xml:space="preserve"> states “One Way Federation is </w:t>
      </w:r>
      <w:r w:rsidR="004A6F0F">
        <w:rPr>
          <w:sz w:val="18"/>
          <w:szCs w:val="18"/>
        </w:rPr>
        <w:t xml:space="preserve">just </w:t>
      </w:r>
      <w:r w:rsidR="00174ED2">
        <w:rPr>
          <w:sz w:val="18"/>
          <w:szCs w:val="18"/>
        </w:rPr>
        <w:t xml:space="preserve">a beginning.  </w:t>
      </w:r>
      <w:r w:rsidR="00C02B4A">
        <w:rPr>
          <w:sz w:val="18"/>
          <w:szCs w:val="18"/>
        </w:rPr>
        <w:t>Users want seamless, secure integration of services.  I</w:t>
      </w:r>
      <w:r w:rsidR="00D1234E">
        <w:rPr>
          <w:sz w:val="18"/>
          <w:szCs w:val="18"/>
        </w:rPr>
        <w:t>AM</w:t>
      </w:r>
      <w:r w:rsidR="00C02B4A">
        <w:rPr>
          <w:sz w:val="18"/>
          <w:szCs w:val="18"/>
        </w:rPr>
        <w:t xml:space="preserve"> will be an enabler, and not </w:t>
      </w:r>
      <w:r w:rsidR="00D1234E">
        <w:rPr>
          <w:sz w:val="18"/>
          <w:szCs w:val="18"/>
        </w:rPr>
        <w:t xml:space="preserve">a </w:t>
      </w:r>
      <w:r w:rsidR="004A6F0F">
        <w:rPr>
          <w:sz w:val="18"/>
          <w:szCs w:val="18"/>
        </w:rPr>
        <w:t xml:space="preserve">roadblock.  You </w:t>
      </w:r>
      <w:r w:rsidR="00953871">
        <w:rPr>
          <w:sz w:val="18"/>
          <w:szCs w:val="18"/>
        </w:rPr>
        <w:t xml:space="preserve">will see innovative solutions </w:t>
      </w:r>
      <w:r w:rsidR="000B73DE">
        <w:rPr>
          <w:sz w:val="18"/>
          <w:szCs w:val="18"/>
        </w:rPr>
        <w:t>that increase productivity, enhance user experience</w:t>
      </w:r>
      <w:r w:rsidR="00D1234E">
        <w:rPr>
          <w:sz w:val="18"/>
          <w:szCs w:val="18"/>
        </w:rPr>
        <w:t>,</w:t>
      </w:r>
      <w:r w:rsidR="000B73DE">
        <w:rPr>
          <w:sz w:val="18"/>
          <w:szCs w:val="18"/>
        </w:rPr>
        <w:t xml:space="preserve"> and </w:t>
      </w:r>
      <w:r w:rsidR="00C57A8A">
        <w:rPr>
          <w:sz w:val="18"/>
          <w:szCs w:val="18"/>
        </w:rPr>
        <w:t>reduce administrative overhead.”</w:t>
      </w:r>
    </w:p>
    <w:sectPr w:rsidR="0060722C" w:rsidRPr="008F3D08" w:rsidSect="00E26FD3">
      <w:headerReference w:type="default" r:id="rId12"/>
      <w:footerReference w:type="default" r:id="rId13"/>
      <w:pgSz w:w="12240" w:h="15840" w:code="1"/>
      <w:pgMar w:top="864" w:right="1008" w:bottom="907" w:left="1008" w:header="288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307" w:rsidRDefault="004B2307" w:rsidP="0019643F">
      <w:pPr>
        <w:spacing w:after="0" w:line="240" w:lineRule="auto"/>
      </w:pPr>
      <w:r>
        <w:separator/>
      </w:r>
    </w:p>
  </w:endnote>
  <w:endnote w:type="continuationSeparator" w:id="0">
    <w:p w:rsidR="004B2307" w:rsidRDefault="004B2307" w:rsidP="0019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307" w:rsidRPr="00435217" w:rsidRDefault="004B2307" w:rsidP="00BD15B1">
    <w:pPr>
      <w:pStyle w:val="Footer"/>
      <w:pBdr>
        <w:top w:val="thinThickSmallGap" w:sz="24" w:space="1" w:color="622423" w:themeColor="accent2" w:themeShade="7F"/>
      </w:pBdr>
      <w:ind w:firstLine="720"/>
      <w:rPr>
        <w:rFonts w:eastAsiaTheme="majorEastAsia" w:cstheme="majorBidi"/>
      </w:rPr>
    </w:pPr>
    <w:r>
      <w:rPr>
        <w:rFonts w:asciiTheme="majorHAnsi" w:eastAsiaTheme="majorEastAsia" w:hAnsiTheme="majorHAnsi" w:cstheme="majorBidi"/>
      </w:rPr>
      <w:tab/>
    </w:r>
    <w:r w:rsidRPr="00435217">
      <w:rPr>
        <w:rFonts w:eastAsiaTheme="majorEastAsia" w:cstheme="majorBidi"/>
      </w:rPr>
      <w:t xml:space="preserve">You can read more about IAM </w:t>
    </w:r>
    <w:r>
      <w:rPr>
        <w:rFonts w:eastAsiaTheme="majorEastAsia" w:cstheme="majorBidi"/>
      </w:rPr>
      <w:t>on our webpage</w:t>
    </w:r>
    <w:r w:rsidRPr="00435217">
      <w:rPr>
        <w:rFonts w:eastAsiaTheme="majorEastAsia" w:cstheme="majorBidi"/>
      </w:rPr>
      <w:t xml:space="preserve">.  Visit </w:t>
    </w:r>
    <w:hyperlink r:id="rId1" w:history="1">
      <w:r w:rsidRPr="00CF1609">
        <w:rPr>
          <w:rStyle w:val="Hyperlink"/>
          <w:rFonts w:eastAsiaTheme="majorEastAsia" w:cstheme="majorBidi"/>
        </w:rPr>
        <w:t>http://projects.iq.harvard.edu/iam</w:t>
      </w:r>
    </w:hyperlink>
    <w:r>
      <w:rPr>
        <w:rFonts w:eastAsiaTheme="majorEastAsia" w:cstheme="majorBidi"/>
      </w:rPr>
      <w:t xml:space="preserve"> </w:t>
    </w:r>
  </w:p>
  <w:p w:rsidR="004B2307" w:rsidRPr="00844C9B" w:rsidRDefault="004B2307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307" w:rsidRDefault="004B2307" w:rsidP="0019643F">
      <w:pPr>
        <w:spacing w:after="0" w:line="240" w:lineRule="auto"/>
      </w:pPr>
      <w:r>
        <w:separator/>
      </w:r>
    </w:p>
  </w:footnote>
  <w:footnote w:type="continuationSeparator" w:id="0">
    <w:p w:rsidR="004B2307" w:rsidRDefault="004B2307" w:rsidP="00196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single" w:sz="4" w:space="0" w:color="A51C30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5"/>
      <w:gridCol w:w="5895"/>
    </w:tblGrid>
    <w:tr w:rsidR="004B2307" w:rsidTr="001867B6">
      <w:trPr>
        <w:jc w:val="center"/>
      </w:trPr>
      <w:tc>
        <w:tcPr>
          <w:tcW w:w="4788" w:type="dxa"/>
          <w:vAlign w:val="center"/>
        </w:tcPr>
        <w:p w:rsidR="004B2307" w:rsidRDefault="004B2307" w:rsidP="0019643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177077" cy="34985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0597" cy="3504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2" w:type="dxa"/>
          <w:vAlign w:val="center"/>
        </w:tcPr>
        <w:p w:rsidR="004B2307" w:rsidRPr="00E83006" w:rsidRDefault="004B2307" w:rsidP="0019643F">
          <w:pPr>
            <w:jc w:val="right"/>
            <w:rPr>
              <w:b/>
            </w:rPr>
          </w:pPr>
          <w:r>
            <w:rPr>
              <w:b/>
              <w:sz w:val="22"/>
            </w:rPr>
            <w:t>Identity &amp; Access Management (IAM)</w:t>
          </w:r>
        </w:p>
        <w:p w:rsidR="004B2307" w:rsidRDefault="004B2307" w:rsidP="00E26FD3">
          <w:pPr>
            <w:pStyle w:val="Header"/>
            <w:jc w:val="right"/>
          </w:pPr>
          <w:r>
            <w:t>Effective Date: January, 2014</w:t>
          </w:r>
        </w:p>
      </w:tc>
    </w:tr>
  </w:tbl>
  <w:p w:rsidR="004B2307" w:rsidRPr="00077E47" w:rsidRDefault="004B2307" w:rsidP="00844C9B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0F"/>
    <w:rsid w:val="0002087F"/>
    <w:rsid w:val="00023275"/>
    <w:rsid w:val="00047AA2"/>
    <w:rsid w:val="00065F5A"/>
    <w:rsid w:val="00077E47"/>
    <w:rsid w:val="00081BED"/>
    <w:rsid w:val="000955F2"/>
    <w:rsid w:val="000A3ACC"/>
    <w:rsid w:val="000A52EA"/>
    <w:rsid w:val="000A5618"/>
    <w:rsid w:val="000B0C38"/>
    <w:rsid w:val="000B22A7"/>
    <w:rsid w:val="000B73DE"/>
    <w:rsid w:val="000C1E08"/>
    <w:rsid w:val="000C50EC"/>
    <w:rsid w:val="000D68D1"/>
    <w:rsid w:val="000F659B"/>
    <w:rsid w:val="001121CA"/>
    <w:rsid w:val="00150FAC"/>
    <w:rsid w:val="001517CC"/>
    <w:rsid w:val="00154A8C"/>
    <w:rsid w:val="001679BB"/>
    <w:rsid w:val="0017081C"/>
    <w:rsid w:val="00174ED2"/>
    <w:rsid w:val="001867B6"/>
    <w:rsid w:val="0019115A"/>
    <w:rsid w:val="0019643F"/>
    <w:rsid w:val="001A0CDA"/>
    <w:rsid w:val="001E470F"/>
    <w:rsid w:val="002017C3"/>
    <w:rsid w:val="0022308B"/>
    <w:rsid w:val="0022402B"/>
    <w:rsid w:val="00243140"/>
    <w:rsid w:val="00257AE8"/>
    <w:rsid w:val="00263849"/>
    <w:rsid w:val="002C1A08"/>
    <w:rsid w:val="002C3610"/>
    <w:rsid w:val="003114AF"/>
    <w:rsid w:val="00382B6E"/>
    <w:rsid w:val="003C7A76"/>
    <w:rsid w:val="00400A0F"/>
    <w:rsid w:val="00435217"/>
    <w:rsid w:val="00456110"/>
    <w:rsid w:val="004A4192"/>
    <w:rsid w:val="004A4FD8"/>
    <w:rsid w:val="004A6F0F"/>
    <w:rsid w:val="004B0F6D"/>
    <w:rsid w:val="004B2307"/>
    <w:rsid w:val="004C415E"/>
    <w:rsid w:val="0050654A"/>
    <w:rsid w:val="005656D2"/>
    <w:rsid w:val="005913F3"/>
    <w:rsid w:val="005A731C"/>
    <w:rsid w:val="005B7DCC"/>
    <w:rsid w:val="0060722C"/>
    <w:rsid w:val="0061380E"/>
    <w:rsid w:val="0067664C"/>
    <w:rsid w:val="006804C1"/>
    <w:rsid w:val="0069723C"/>
    <w:rsid w:val="006A6562"/>
    <w:rsid w:val="006D5C98"/>
    <w:rsid w:val="00704465"/>
    <w:rsid w:val="007109EC"/>
    <w:rsid w:val="00712C61"/>
    <w:rsid w:val="00714AB3"/>
    <w:rsid w:val="00731497"/>
    <w:rsid w:val="00777F31"/>
    <w:rsid w:val="007D47CD"/>
    <w:rsid w:val="007D545A"/>
    <w:rsid w:val="007F421E"/>
    <w:rsid w:val="00806B3A"/>
    <w:rsid w:val="0081398F"/>
    <w:rsid w:val="008400D5"/>
    <w:rsid w:val="00844C9B"/>
    <w:rsid w:val="00866747"/>
    <w:rsid w:val="008810A5"/>
    <w:rsid w:val="00891F08"/>
    <w:rsid w:val="00894C36"/>
    <w:rsid w:val="008B6BA1"/>
    <w:rsid w:val="008C7E86"/>
    <w:rsid w:val="008D3C66"/>
    <w:rsid w:val="008F0620"/>
    <w:rsid w:val="008F28C7"/>
    <w:rsid w:val="008F3D08"/>
    <w:rsid w:val="00912FBE"/>
    <w:rsid w:val="009152BE"/>
    <w:rsid w:val="00916BEA"/>
    <w:rsid w:val="00943E1E"/>
    <w:rsid w:val="00952F40"/>
    <w:rsid w:val="00953871"/>
    <w:rsid w:val="009750D7"/>
    <w:rsid w:val="00976751"/>
    <w:rsid w:val="00987DD4"/>
    <w:rsid w:val="00992A1F"/>
    <w:rsid w:val="009B414F"/>
    <w:rsid w:val="009D65ED"/>
    <w:rsid w:val="00A07B20"/>
    <w:rsid w:val="00A15354"/>
    <w:rsid w:val="00A4493B"/>
    <w:rsid w:val="00A505EF"/>
    <w:rsid w:val="00A60E3E"/>
    <w:rsid w:val="00A952D4"/>
    <w:rsid w:val="00AF780A"/>
    <w:rsid w:val="00B17808"/>
    <w:rsid w:val="00B20AC4"/>
    <w:rsid w:val="00B63DE5"/>
    <w:rsid w:val="00B6418F"/>
    <w:rsid w:val="00B744F2"/>
    <w:rsid w:val="00B857ED"/>
    <w:rsid w:val="00BC595B"/>
    <w:rsid w:val="00BD15B1"/>
    <w:rsid w:val="00C02B4A"/>
    <w:rsid w:val="00C218F9"/>
    <w:rsid w:val="00C57A8A"/>
    <w:rsid w:val="00D1234E"/>
    <w:rsid w:val="00D207F2"/>
    <w:rsid w:val="00D35FA8"/>
    <w:rsid w:val="00D60851"/>
    <w:rsid w:val="00D80D68"/>
    <w:rsid w:val="00DC2648"/>
    <w:rsid w:val="00DE7162"/>
    <w:rsid w:val="00DF0CFF"/>
    <w:rsid w:val="00DF516C"/>
    <w:rsid w:val="00E13481"/>
    <w:rsid w:val="00E26FD3"/>
    <w:rsid w:val="00E61701"/>
    <w:rsid w:val="00E67750"/>
    <w:rsid w:val="00EA43E9"/>
    <w:rsid w:val="00EF1587"/>
    <w:rsid w:val="00EF6479"/>
    <w:rsid w:val="00F04F55"/>
    <w:rsid w:val="00F129DC"/>
    <w:rsid w:val="00F40665"/>
    <w:rsid w:val="00F43B3C"/>
    <w:rsid w:val="00F47A48"/>
    <w:rsid w:val="00F85889"/>
    <w:rsid w:val="00FB2DF0"/>
    <w:rsid w:val="00FD13B3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E1E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43F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A51C3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3E1E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A51C3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13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1C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3F"/>
  </w:style>
  <w:style w:type="paragraph" w:styleId="Footer">
    <w:name w:val="footer"/>
    <w:basedOn w:val="Normal"/>
    <w:link w:val="FooterChar"/>
    <w:uiPriority w:val="99"/>
    <w:unhideWhenUsed/>
    <w:rsid w:val="00196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3F"/>
  </w:style>
  <w:style w:type="table" w:styleId="TableGrid">
    <w:name w:val="Table Grid"/>
    <w:basedOn w:val="TableNormal"/>
    <w:uiPriority w:val="59"/>
    <w:rsid w:val="0019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9643F"/>
    <w:rPr>
      <w:rFonts w:ascii="Calibri" w:eastAsiaTheme="majorEastAsia" w:hAnsi="Calibri" w:cstheme="majorBidi"/>
      <w:b/>
      <w:bCs/>
      <w:color w:val="A51C3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3E1E"/>
    <w:rPr>
      <w:rFonts w:ascii="Calibri" w:eastAsiaTheme="majorEastAsia" w:hAnsi="Calibri" w:cstheme="majorBidi"/>
      <w:b/>
      <w:bCs/>
      <w:color w:val="A51C3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13B3"/>
    <w:rPr>
      <w:rFonts w:asciiTheme="majorHAnsi" w:eastAsiaTheme="majorEastAsia" w:hAnsiTheme="majorHAnsi" w:cstheme="majorBidi"/>
      <w:b/>
      <w:bCs/>
      <w:color w:val="A51C3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5FA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913F3"/>
    <w:pPr>
      <w:spacing w:after="0" w:line="240" w:lineRule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E1E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43F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A51C3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3E1E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A51C3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13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1C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3F"/>
  </w:style>
  <w:style w:type="paragraph" w:styleId="Footer">
    <w:name w:val="footer"/>
    <w:basedOn w:val="Normal"/>
    <w:link w:val="FooterChar"/>
    <w:uiPriority w:val="99"/>
    <w:unhideWhenUsed/>
    <w:rsid w:val="00196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3F"/>
  </w:style>
  <w:style w:type="table" w:styleId="TableGrid">
    <w:name w:val="Table Grid"/>
    <w:basedOn w:val="TableNormal"/>
    <w:uiPriority w:val="59"/>
    <w:rsid w:val="0019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9643F"/>
    <w:rPr>
      <w:rFonts w:ascii="Calibri" w:eastAsiaTheme="majorEastAsia" w:hAnsi="Calibri" w:cstheme="majorBidi"/>
      <w:b/>
      <w:bCs/>
      <w:color w:val="A51C3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3E1E"/>
    <w:rPr>
      <w:rFonts w:ascii="Calibri" w:eastAsiaTheme="majorEastAsia" w:hAnsi="Calibri" w:cstheme="majorBidi"/>
      <w:b/>
      <w:bCs/>
      <w:color w:val="A51C3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13B3"/>
    <w:rPr>
      <w:rFonts w:asciiTheme="majorHAnsi" w:eastAsiaTheme="majorEastAsia" w:hAnsiTheme="majorHAnsi" w:cstheme="majorBidi"/>
      <w:b/>
      <w:bCs/>
      <w:color w:val="A51C3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5FA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913F3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ncommon.org/federation/cases.html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projects.iq.harvard.edu/ia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rojects.iq.harvard.edu/i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k441\AppData\Local\Microsoft\Windows\Temporary%20Internet%20Files\Content.Outlook\D9VZ0AEL\SandP%20Template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D8AF3-CAF1-D34E-AAB4-18D07AED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\Users\sjk441\AppData\Local\Microsoft\Windows\Temporary Internet Files\Content.Outlook\D9VZ0AEL\SandP Template4.dotx</Template>
  <TotalTime>2</TotalTime>
  <Pages>1</Pages>
  <Words>645</Words>
  <Characters>3678</Characters>
  <Application>Microsoft Macintosh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HUIT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Steve</dc:creator>
  <cp:lastModifiedBy>Snyder, Jason</cp:lastModifiedBy>
  <cp:revision>2</cp:revision>
  <cp:lastPrinted>2014-02-10T13:58:00Z</cp:lastPrinted>
  <dcterms:created xsi:type="dcterms:W3CDTF">2014-02-10T14:01:00Z</dcterms:created>
  <dcterms:modified xsi:type="dcterms:W3CDTF">2014-02-10T14:01:00Z</dcterms:modified>
</cp:coreProperties>
</file>