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7F4D1" w14:textId="77777777" w:rsidR="00F20361" w:rsidRDefault="00F20361" w:rsidP="00F20361">
      <w:pPr>
        <w:tabs>
          <w:tab w:val="left" w:pos="9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right="-720"/>
        <w:rPr>
          <w:sz w:val="22"/>
          <w:u w:val="single"/>
        </w:rPr>
      </w:pPr>
      <w:bookmarkStart w:id="0" w:name="_GoBack"/>
      <w:bookmarkEnd w:id="0"/>
      <w:r>
        <w:rPr>
          <w:noProof/>
          <w:sz w:val="22"/>
          <w:u w:val="single"/>
        </w:rPr>
        <w:drawing>
          <wp:inline distT="0" distB="0" distL="0" distR="0" wp14:anchorId="2CF222A6" wp14:editId="602814BE">
            <wp:extent cx="5486400" cy="9085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0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7D9E1" w14:textId="77777777" w:rsidR="00F20361" w:rsidRDefault="00F20361" w:rsidP="008C56CE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540"/>
        <w:rPr>
          <w:sz w:val="22"/>
          <w:u w:val="single"/>
        </w:rPr>
      </w:pPr>
    </w:p>
    <w:p w14:paraId="3B4E726B" w14:textId="77777777" w:rsidR="00F20361" w:rsidRDefault="00F20361" w:rsidP="008C56CE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540"/>
        <w:rPr>
          <w:sz w:val="22"/>
          <w:u w:val="single"/>
        </w:rPr>
      </w:pPr>
    </w:p>
    <w:p w14:paraId="4B883914" w14:textId="77777777" w:rsidR="004437C4" w:rsidRDefault="004437C4" w:rsidP="00F20361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sz w:val="22"/>
          <w:u w:val="single"/>
        </w:rPr>
      </w:pPr>
      <w:r>
        <w:rPr>
          <w:sz w:val="22"/>
          <w:u w:val="single"/>
        </w:rPr>
        <w:t>Guiding questions for concentrations undergoing review</w:t>
      </w:r>
      <w:r w:rsidR="00C72E2F">
        <w:rPr>
          <w:sz w:val="22"/>
          <w:u w:val="single"/>
        </w:rPr>
        <w:t xml:space="preserve"> or undertaking internal review</w:t>
      </w:r>
    </w:p>
    <w:p w14:paraId="440295AC" w14:textId="77777777" w:rsidR="00A906D6" w:rsidRDefault="00A906D6" w:rsidP="008C56CE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540"/>
        <w:rPr>
          <w:sz w:val="22"/>
          <w:u w:val="single"/>
        </w:rPr>
      </w:pPr>
    </w:p>
    <w:p w14:paraId="3234C66B" w14:textId="77777777" w:rsidR="00A906D6" w:rsidRDefault="00A906D6" w:rsidP="008C56CE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</w:p>
    <w:p w14:paraId="2DACD608" w14:textId="77777777" w:rsidR="00A906D6" w:rsidRDefault="00A906D6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  <w:r w:rsidRPr="00A906D6">
        <w:rPr>
          <w:b/>
          <w:sz w:val="22"/>
        </w:rPr>
        <w:t>Goals</w:t>
      </w:r>
      <w:r w:rsidR="00F20361">
        <w:rPr>
          <w:b/>
          <w:sz w:val="22"/>
        </w:rPr>
        <w:t xml:space="preserve"> of the concentration; oversight and review:</w:t>
      </w:r>
    </w:p>
    <w:p w14:paraId="5A9BBE9B" w14:textId="77777777" w:rsidR="00A77800" w:rsidRDefault="00A77800" w:rsidP="00F20361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23EC2803" w14:textId="77777777" w:rsidR="00A77800" w:rsidRPr="003005E5" w:rsidRDefault="00A77800" w:rsidP="00A77800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 w:rsidRPr="003005E5">
        <w:rPr>
          <w:sz w:val="22"/>
        </w:rPr>
        <w:t xml:space="preserve">What are the intellectual goals of the concentration? </w:t>
      </w:r>
    </w:p>
    <w:p w14:paraId="35C7BD8D" w14:textId="77777777" w:rsidR="00A77800" w:rsidRDefault="00A77800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</w:p>
    <w:p w14:paraId="4ABFA87B" w14:textId="579A3CBB" w:rsidR="00A77800" w:rsidRDefault="00900B2F" w:rsidP="00A77800">
      <w:pPr>
        <w:numPr>
          <w:ilvl w:val="0"/>
          <w:numId w:val="2"/>
        </w:numPr>
        <w:tabs>
          <w:tab w:val="left" w:pos="720"/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>
        <w:rPr>
          <w:sz w:val="22"/>
        </w:rPr>
        <w:t>How d</w:t>
      </w:r>
      <w:r w:rsidR="00A77800">
        <w:rPr>
          <w:sz w:val="22"/>
        </w:rPr>
        <w:t>oes the concentration p</w:t>
      </w:r>
      <w:r w:rsidR="00A77800" w:rsidRPr="001A18D2">
        <w:rPr>
          <w:sz w:val="22"/>
        </w:rPr>
        <w:t xml:space="preserve">rovide students with an understanding of the methods, problems, and knowledge of an intellectually coherent </w:t>
      </w:r>
      <w:r w:rsidR="00A77800">
        <w:rPr>
          <w:sz w:val="22"/>
        </w:rPr>
        <w:t>discipline or field of study?</w:t>
      </w:r>
    </w:p>
    <w:p w14:paraId="35AF63DB" w14:textId="77777777" w:rsidR="00F20361" w:rsidRDefault="00F20361" w:rsidP="00F20361">
      <w:pPr>
        <w:tabs>
          <w:tab w:val="left" w:pos="720"/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249694FD" w14:textId="5318B8E2" w:rsidR="00F20361" w:rsidRDefault="00900B2F" w:rsidP="00F20361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>
        <w:rPr>
          <w:sz w:val="22"/>
        </w:rPr>
        <w:t>How i</w:t>
      </w:r>
      <w:r w:rsidR="00F20361">
        <w:rPr>
          <w:sz w:val="22"/>
        </w:rPr>
        <w:t xml:space="preserve">s the concentration shaped, led, and reviewed by its faculty? </w:t>
      </w:r>
    </w:p>
    <w:p w14:paraId="3FDE6BE0" w14:textId="77777777" w:rsidR="00F20361" w:rsidRDefault="00F20361" w:rsidP="00F20361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52DD5288" w14:textId="77777777" w:rsidR="00F20361" w:rsidRDefault="00F20361" w:rsidP="00F20361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>
        <w:rPr>
          <w:sz w:val="22"/>
        </w:rPr>
        <w:t>What is going particularly well</w:t>
      </w:r>
      <w:r w:rsidR="008367A7">
        <w:rPr>
          <w:sz w:val="22"/>
        </w:rPr>
        <w:t xml:space="preserve"> in the concentration</w:t>
      </w:r>
      <w:r>
        <w:rPr>
          <w:sz w:val="22"/>
        </w:rPr>
        <w:t>? What are you most proud of?</w:t>
      </w:r>
    </w:p>
    <w:p w14:paraId="0FB4034D" w14:textId="77777777" w:rsidR="00F20361" w:rsidRDefault="00F20361" w:rsidP="00F20361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07EF56ED" w14:textId="77777777" w:rsidR="00F20361" w:rsidRDefault="00F20361" w:rsidP="00F20361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>
        <w:rPr>
          <w:sz w:val="22"/>
        </w:rPr>
        <w:t>What are the greatest challenges?</w:t>
      </w:r>
    </w:p>
    <w:p w14:paraId="03E66D2F" w14:textId="77777777" w:rsidR="00F20361" w:rsidRDefault="00F20361" w:rsidP="00F20361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63731089" w14:textId="08CACF06" w:rsidR="00F20361" w:rsidRPr="007833E0" w:rsidRDefault="000840D4" w:rsidP="007833E0">
      <w:pPr>
        <w:numPr>
          <w:ilvl w:val="0"/>
          <w:numId w:val="2"/>
        </w:numPr>
        <w:tabs>
          <w:tab w:val="left" w:pos="720"/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 w:rsidRPr="007833E0">
        <w:rPr>
          <w:sz w:val="22"/>
        </w:rPr>
        <w:t>Are your</w:t>
      </w:r>
      <w:r w:rsidR="00900B2F" w:rsidRPr="007833E0">
        <w:rPr>
          <w:sz w:val="22"/>
        </w:rPr>
        <w:t xml:space="preserve"> concentrators </w:t>
      </w:r>
      <w:r w:rsidRPr="007833E0">
        <w:rPr>
          <w:sz w:val="22"/>
        </w:rPr>
        <w:t xml:space="preserve">able to </w:t>
      </w:r>
      <w:r w:rsidR="00F20361" w:rsidRPr="007833E0">
        <w:rPr>
          <w:sz w:val="22"/>
        </w:rPr>
        <w:t>engag</w:t>
      </w:r>
      <w:r w:rsidRPr="007833E0">
        <w:rPr>
          <w:sz w:val="22"/>
        </w:rPr>
        <w:t>e</w:t>
      </w:r>
      <w:r w:rsidR="00F20361" w:rsidRPr="007833E0">
        <w:rPr>
          <w:sz w:val="22"/>
        </w:rPr>
        <w:t xml:space="preserve"> in cross-departmental collaboration? What sorts of connections </w:t>
      </w:r>
      <w:r w:rsidR="00900B2F" w:rsidRPr="007833E0">
        <w:rPr>
          <w:sz w:val="22"/>
        </w:rPr>
        <w:t xml:space="preserve">do you encourage or facilitate </w:t>
      </w:r>
      <w:r w:rsidR="00F20361" w:rsidRPr="007833E0">
        <w:rPr>
          <w:sz w:val="22"/>
        </w:rPr>
        <w:t xml:space="preserve">with other concentrations, and </w:t>
      </w:r>
      <w:r w:rsidR="007833E0">
        <w:rPr>
          <w:sz w:val="22"/>
        </w:rPr>
        <w:t>have the connections been successful?</w:t>
      </w:r>
    </w:p>
    <w:p w14:paraId="504E48C3" w14:textId="77777777" w:rsidR="00A77800" w:rsidRDefault="00A77800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</w:p>
    <w:p w14:paraId="664A3761" w14:textId="77777777" w:rsidR="00A77800" w:rsidRDefault="00A77800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</w:p>
    <w:p w14:paraId="483B7C93" w14:textId="77777777" w:rsidR="005069DD" w:rsidRDefault="005069DD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  <w:r>
        <w:rPr>
          <w:b/>
          <w:sz w:val="22"/>
        </w:rPr>
        <w:t>Curriculum</w:t>
      </w:r>
      <w:r w:rsidR="00F20361">
        <w:rPr>
          <w:b/>
          <w:sz w:val="22"/>
        </w:rPr>
        <w:t>:</w:t>
      </w:r>
    </w:p>
    <w:p w14:paraId="2D26E24E" w14:textId="77777777" w:rsidR="005069DD" w:rsidRDefault="005069DD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</w:p>
    <w:p w14:paraId="47C48814" w14:textId="77777777" w:rsidR="00A77800" w:rsidRPr="004B2600" w:rsidRDefault="00A77800" w:rsidP="00A77800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 w:rsidRPr="004B2600">
        <w:rPr>
          <w:sz w:val="22"/>
        </w:rPr>
        <w:t>What is the appropriate progression of courses, and what should students have accomplished on completion of each level?</w:t>
      </w:r>
    </w:p>
    <w:p w14:paraId="59A53484" w14:textId="77777777" w:rsidR="00900B2F" w:rsidRPr="004B2600" w:rsidRDefault="00900B2F" w:rsidP="00900B2F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31DC9035" w14:textId="77777777" w:rsidR="00900B2F" w:rsidRPr="004B2600" w:rsidRDefault="00900B2F" w:rsidP="00900B2F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 w:rsidRPr="004B2600">
        <w:rPr>
          <w:sz w:val="22"/>
        </w:rPr>
        <w:t xml:space="preserve">How does </w:t>
      </w:r>
      <w:r w:rsidR="000840D4" w:rsidRPr="004B2600">
        <w:rPr>
          <w:sz w:val="22"/>
        </w:rPr>
        <w:t>the</w:t>
      </w:r>
      <w:r w:rsidRPr="004B2600">
        <w:rPr>
          <w:sz w:val="22"/>
        </w:rPr>
        <w:t xml:space="preserve"> concentration address the varied backgrounds and career trajectories of </w:t>
      </w:r>
      <w:r w:rsidR="000840D4" w:rsidRPr="004B2600">
        <w:rPr>
          <w:sz w:val="22"/>
        </w:rPr>
        <w:t xml:space="preserve">its </w:t>
      </w:r>
      <w:r w:rsidRPr="004B2600">
        <w:rPr>
          <w:sz w:val="22"/>
        </w:rPr>
        <w:t xml:space="preserve">students?  What is available to students with weaker backgrounds?  What is available for students who are interested and capable of doing advanced work? </w:t>
      </w:r>
    </w:p>
    <w:p w14:paraId="75951C70" w14:textId="77777777" w:rsidR="00A77800" w:rsidRDefault="00A77800" w:rsidP="00A77800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7470F70F" w14:textId="59342CB8" w:rsidR="00A77800" w:rsidRDefault="00A77800" w:rsidP="00900B2F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>
        <w:rPr>
          <w:sz w:val="22"/>
        </w:rPr>
        <w:t>How and where in the concentration are academic integrity standards explained</w:t>
      </w:r>
      <w:r w:rsidR="004B2600">
        <w:rPr>
          <w:sz w:val="22"/>
        </w:rPr>
        <w:t xml:space="preserve"> and </w:t>
      </w:r>
      <w:r>
        <w:rPr>
          <w:sz w:val="22"/>
        </w:rPr>
        <w:t xml:space="preserve">nurtured? </w:t>
      </w:r>
    </w:p>
    <w:p w14:paraId="2CC2FCC0" w14:textId="77777777" w:rsidR="00A77800" w:rsidRDefault="00A77800" w:rsidP="00A77800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4F6726CB" w14:textId="77777777" w:rsidR="00A77800" w:rsidRPr="007928E2" w:rsidRDefault="00A77800" w:rsidP="00A77800">
      <w:pPr>
        <w:pStyle w:val="ListParagraph"/>
        <w:numPr>
          <w:ilvl w:val="0"/>
          <w:numId w:val="2"/>
        </w:numPr>
        <w:ind w:left="360" w:right="-540"/>
        <w:rPr>
          <w:sz w:val="22"/>
          <w:szCs w:val="22"/>
        </w:rPr>
      </w:pPr>
      <w:r>
        <w:rPr>
          <w:sz w:val="22"/>
          <w:szCs w:val="22"/>
        </w:rPr>
        <w:t>If applicable, w</w:t>
      </w:r>
      <w:r w:rsidRPr="00C80247">
        <w:rPr>
          <w:sz w:val="22"/>
        </w:rPr>
        <w:t>hat is the role of tutorials in the concentration?  What is the appropriate level of staffing for tutorials (especially in the committee concentrations)?  What is the role of</w:t>
      </w:r>
      <w:r w:rsidR="00900B2F">
        <w:rPr>
          <w:sz w:val="22"/>
        </w:rPr>
        <w:t xml:space="preserve"> ladder and</w:t>
      </w:r>
      <w:r w:rsidRPr="00C80247">
        <w:rPr>
          <w:sz w:val="22"/>
        </w:rPr>
        <w:t xml:space="preserve"> senior faculty in the tutorial program, in teaching writing, in advising, etc.?</w:t>
      </w:r>
    </w:p>
    <w:p w14:paraId="434819CE" w14:textId="77777777" w:rsidR="00A77800" w:rsidRPr="007928E2" w:rsidRDefault="00A77800" w:rsidP="00A77800">
      <w:pPr>
        <w:ind w:left="360" w:right="-540"/>
        <w:rPr>
          <w:sz w:val="22"/>
          <w:szCs w:val="22"/>
        </w:rPr>
      </w:pPr>
    </w:p>
    <w:p w14:paraId="4012C86E" w14:textId="77777777" w:rsidR="00A77800" w:rsidRDefault="00A77800" w:rsidP="00A77800">
      <w:pPr>
        <w:pStyle w:val="ListParagraph"/>
        <w:numPr>
          <w:ilvl w:val="0"/>
          <w:numId w:val="2"/>
        </w:numPr>
        <w:ind w:left="360" w:right="-540"/>
        <w:rPr>
          <w:sz w:val="22"/>
          <w:szCs w:val="22"/>
        </w:rPr>
      </w:pPr>
      <w:r>
        <w:rPr>
          <w:sz w:val="22"/>
          <w:szCs w:val="22"/>
        </w:rPr>
        <w:t>If the concentration contains both basic and honors tracks, how are the tracks defined? How are students advised in the honors track?</w:t>
      </w:r>
    </w:p>
    <w:p w14:paraId="2BA00093" w14:textId="77777777" w:rsidR="00A77800" w:rsidRPr="00A77800" w:rsidRDefault="00A77800" w:rsidP="00A77800">
      <w:pPr>
        <w:ind w:right="-540"/>
        <w:rPr>
          <w:sz w:val="22"/>
          <w:szCs w:val="22"/>
        </w:rPr>
      </w:pPr>
    </w:p>
    <w:p w14:paraId="3442CE5C" w14:textId="77777777" w:rsidR="00A77800" w:rsidRDefault="00F20361" w:rsidP="00A77800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 w:rsidRPr="00F20361">
        <w:rPr>
          <w:sz w:val="22"/>
        </w:rPr>
        <w:t xml:space="preserve">How are students’ skills in writing and speaking nurtured and developed in the concentration? </w:t>
      </w:r>
      <w:r>
        <w:rPr>
          <w:sz w:val="22"/>
        </w:rPr>
        <w:t>In addition to the skills of writing and speaking, are there further skills that are particular to the concentration, and how are students trained in these skills?</w:t>
      </w:r>
    </w:p>
    <w:p w14:paraId="01F379CA" w14:textId="77777777" w:rsidR="00050F02" w:rsidRPr="00F20361" w:rsidRDefault="00050F02" w:rsidP="00050F02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7493F01B" w14:textId="77777777" w:rsidR="00A77800" w:rsidRDefault="00A77800" w:rsidP="00A77800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 w:rsidRPr="00AB7D32">
        <w:rPr>
          <w:sz w:val="22"/>
        </w:rPr>
        <w:lastRenderedPageBreak/>
        <w:t xml:space="preserve">What role does independent research play in the concentration? How are students trained to conduct research? </w:t>
      </w:r>
      <w:r w:rsidR="00900B2F">
        <w:rPr>
          <w:sz w:val="22"/>
        </w:rPr>
        <w:t xml:space="preserve"> What role do </w:t>
      </w:r>
      <w:proofErr w:type="gramStart"/>
      <w:r w:rsidR="00900B2F">
        <w:rPr>
          <w:sz w:val="22"/>
        </w:rPr>
        <w:t>faculty play</w:t>
      </w:r>
      <w:proofErr w:type="gramEnd"/>
      <w:r w:rsidR="00900B2F">
        <w:rPr>
          <w:sz w:val="22"/>
        </w:rPr>
        <w:t xml:space="preserve"> in supervising research?</w:t>
      </w:r>
    </w:p>
    <w:p w14:paraId="6A6F1EB7" w14:textId="77777777" w:rsidR="00F20361" w:rsidRDefault="00F20361" w:rsidP="00F20361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41A472B9" w14:textId="77777777" w:rsidR="004B2600" w:rsidRDefault="004B2600" w:rsidP="00F20361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43FA3A68" w14:textId="77777777" w:rsidR="00F20361" w:rsidRPr="00AB7D32" w:rsidRDefault="00F20361" w:rsidP="00F20361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  <w:r>
        <w:rPr>
          <w:b/>
          <w:sz w:val="22"/>
        </w:rPr>
        <w:t>Pedagogy/ Teaching</w:t>
      </w:r>
      <w:r w:rsidR="00900B2F">
        <w:rPr>
          <w:b/>
          <w:sz w:val="22"/>
        </w:rPr>
        <w:t>/</w:t>
      </w:r>
      <w:r w:rsidR="000840D4">
        <w:rPr>
          <w:b/>
          <w:sz w:val="22"/>
        </w:rPr>
        <w:t xml:space="preserve"> </w:t>
      </w:r>
      <w:r w:rsidR="00900B2F">
        <w:rPr>
          <w:b/>
          <w:sz w:val="22"/>
        </w:rPr>
        <w:t>Advising</w:t>
      </w:r>
      <w:r>
        <w:rPr>
          <w:b/>
          <w:sz w:val="22"/>
        </w:rPr>
        <w:t>:</w:t>
      </w:r>
    </w:p>
    <w:p w14:paraId="719F7F25" w14:textId="77777777" w:rsidR="00A77800" w:rsidRDefault="00A77800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</w:p>
    <w:p w14:paraId="0EDDA6B4" w14:textId="77777777" w:rsidR="00900B2F" w:rsidRDefault="00A77800" w:rsidP="00900B2F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 w:rsidRPr="001A18D2">
        <w:rPr>
          <w:sz w:val="22"/>
        </w:rPr>
        <w:t>What opportunities exist for faculty-led small-group instruction?  What kinds of pedagogical innovation are encouraged or supported by the concentration?</w:t>
      </w:r>
    </w:p>
    <w:p w14:paraId="68510F65" w14:textId="77777777" w:rsidR="00900B2F" w:rsidRPr="00900B2F" w:rsidRDefault="00900B2F" w:rsidP="00900B2F">
      <w:p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</w:p>
    <w:p w14:paraId="08C884E4" w14:textId="77777777" w:rsidR="00F20361" w:rsidRPr="00F20361" w:rsidRDefault="00F20361" w:rsidP="00F20361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>
        <w:rPr>
          <w:sz w:val="22"/>
        </w:rPr>
        <w:t xml:space="preserve">How are TFs who teach in the concentration trained? </w:t>
      </w:r>
    </w:p>
    <w:p w14:paraId="0F9EC139" w14:textId="77777777" w:rsidR="00A77800" w:rsidRDefault="00A77800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</w:p>
    <w:p w14:paraId="5867697E" w14:textId="77777777" w:rsidR="00A77800" w:rsidRDefault="00A77800" w:rsidP="00A77800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 w:rsidRPr="001A18D2">
        <w:rPr>
          <w:sz w:val="22"/>
        </w:rPr>
        <w:t>How are prospective concentrators advised about concentration requirements and opportunities? How are concentrators advised?</w:t>
      </w:r>
      <w:r>
        <w:rPr>
          <w:sz w:val="22"/>
        </w:rPr>
        <w:t xml:space="preserve"> What is the advising structure within the concentration?</w:t>
      </w:r>
    </w:p>
    <w:p w14:paraId="1246F30C" w14:textId="77777777" w:rsidR="00F20361" w:rsidRDefault="00F20361" w:rsidP="00F20361">
      <w:pPr>
        <w:tabs>
          <w:tab w:val="left" w:pos="1440"/>
          <w:tab w:val="left" w:pos="1800"/>
          <w:tab w:val="left" w:pos="2160"/>
        </w:tabs>
        <w:ind w:right="-540"/>
        <w:rPr>
          <w:sz w:val="22"/>
        </w:rPr>
      </w:pPr>
    </w:p>
    <w:p w14:paraId="46E6D8E5" w14:textId="77777777" w:rsidR="00A77800" w:rsidRDefault="00A77800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</w:p>
    <w:p w14:paraId="211B9240" w14:textId="77777777" w:rsidR="00A77800" w:rsidRDefault="00A77800" w:rsidP="00A906D6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</w:p>
    <w:p w14:paraId="39C6588C" w14:textId="77777777" w:rsidR="004437C4" w:rsidRPr="00F20361" w:rsidRDefault="00F20361" w:rsidP="00F20361">
      <w:pPr>
        <w:tabs>
          <w:tab w:val="left" w:pos="720"/>
          <w:tab w:val="left" w:pos="1080"/>
          <w:tab w:val="left" w:pos="1440"/>
          <w:tab w:val="left" w:pos="1800"/>
          <w:tab w:val="left" w:pos="2160"/>
        </w:tabs>
        <w:ind w:right="-540"/>
        <w:rPr>
          <w:b/>
          <w:sz w:val="22"/>
        </w:rPr>
      </w:pPr>
      <w:r>
        <w:rPr>
          <w:b/>
          <w:sz w:val="22"/>
        </w:rPr>
        <w:t>Miscellaneous:</w:t>
      </w:r>
    </w:p>
    <w:p w14:paraId="093FCEA6" w14:textId="77777777" w:rsidR="00967AFD" w:rsidRPr="00967AFD" w:rsidRDefault="00967AFD" w:rsidP="008C56CE">
      <w:pPr>
        <w:ind w:left="360" w:right="-540"/>
        <w:rPr>
          <w:sz w:val="22"/>
          <w:szCs w:val="22"/>
        </w:rPr>
      </w:pPr>
    </w:p>
    <w:p w14:paraId="6FE77D56" w14:textId="77777777" w:rsidR="00967AFD" w:rsidRPr="001A18D2" w:rsidRDefault="00967AFD" w:rsidP="008C56CE">
      <w:pPr>
        <w:numPr>
          <w:ilvl w:val="0"/>
          <w:numId w:val="2"/>
        </w:num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  <w:r>
        <w:rPr>
          <w:sz w:val="22"/>
        </w:rPr>
        <w:t>Are international opportunities</w:t>
      </w:r>
      <w:r w:rsidRPr="001A18D2">
        <w:rPr>
          <w:sz w:val="22"/>
        </w:rPr>
        <w:t xml:space="preserve"> supported by the concentration for study and research during the term and</w:t>
      </w:r>
      <w:r>
        <w:rPr>
          <w:sz w:val="22"/>
        </w:rPr>
        <w:t>/or</w:t>
      </w:r>
      <w:r w:rsidRPr="001A18D2">
        <w:rPr>
          <w:sz w:val="22"/>
        </w:rPr>
        <w:t xml:space="preserve"> summer?</w:t>
      </w:r>
    </w:p>
    <w:p w14:paraId="1EC02D94" w14:textId="77777777" w:rsidR="00967AFD" w:rsidRDefault="00967AFD" w:rsidP="008C56CE">
      <w:pPr>
        <w:tabs>
          <w:tab w:val="left" w:pos="1440"/>
          <w:tab w:val="left" w:pos="1800"/>
          <w:tab w:val="left" w:pos="2160"/>
        </w:tabs>
        <w:ind w:left="360" w:right="-540"/>
        <w:rPr>
          <w:sz w:val="22"/>
        </w:rPr>
      </w:pPr>
    </w:p>
    <w:p w14:paraId="4DA13871" w14:textId="77777777" w:rsidR="00967AFD" w:rsidRDefault="00967AFD" w:rsidP="008C56CE">
      <w:pPr>
        <w:pStyle w:val="ListParagraph"/>
        <w:numPr>
          <w:ilvl w:val="0"/>
          <w:numId w:val="2"/>
        </w:numPr>
        <w:ind w:left="360" w:right="-540"/>
        <w:rPr>
          <w:sz w:val="22"/>
          <w:szCs w:val="22"/>
        </w:rPr>
      </w:pPr>
      <w:r w:rsidRPr="00AB7D32">
        <w:rPr>
          <w:sz w:val="22"/>
          <w:szCs w:val="22"/>
        </w:rPr>
        <w:t>Does the concentration encourage and enable students to access the broad range of resources available to them through libraries, museums, cross-school experience, etc.?</w:t>
      </w:r>
    </w:p>
    <w:p w14:paraId="3CFF314D" w14:textId="77777777" w:rsidR="00F20361" w:rsidRPr="00F20361" w:rsidRDefault="00F20361" w:rsidP="00F20361">
      <w:pPr>
        <w:ind w:right="-540"/>
        <w:rPr>
          <w:sz w:val="22"/>
          <w:szCs w:val="22"/>
        </w:rPr>
      </w:pPr>
    </w:p>
    <w:p w14:paraId="2513202E" w14:textId="77777777" w:rsidR="00F20361" w:rsidRDefault="00F20361" w:rsidP="008C56CE">
      <w:pPr>
        <w:pStyle w:val="ListParagraph"/>
        <w:numPr>
          <w:ilvl w:val="0"/>
          <w:numId w:val="2"/>
        </w:numPr>
        <w:ind w:left="360" w:right="-540"/>
        <w:rPr>
          <w:sz w:val="22"/>
          <w:szCs w:val="22"/>
        </w:rPr>
      </w:pPr>
      <w:r>
        <w:rPr>
          <w:sz w:val="22"/>
          <w:szCs w:val="22"/>
        </w:rPr>
        <w:t xml:space="preserve">If applicable, how do concentrators contribute to the campus and to the community beyond Harvard? </w:t>
      </w:r>
    </w:p>
    <w:p w14:paraId="69C649F1" w14:textId="77777777" w:rsidR="00967AFD" w:rsidRDefault="00967AFD" w:rsidP="008C56CE">
      <w:pPr>
        <w:pStyle w:val="ListParagraph"/>
        <w:ind w:left="360" w:right="-540"/>
        <w:rPr>
          <w:sz w:val="22"/>
          <w:szCs w:val="22"/>
        </w:rPr>
      </w:pPr>
    </w:p>
    <w:p w14:paraId="770F9C75" w14:textId="77777777" w:rsidR="004437C4" w:rsidRPr="00C80247" w:rsidRDefault="004437C4" w:rsidP="00A532A4">
      <w:pPr>
        <w:tabs>
          <w:tab w:val="left" w:pos="1440"/>
          <w:tab w:val="left" w:pos="1800"/>
          <w:tab w:val="left" w:pos="2160"/>
        </w:tabs>
        <w:ind w:right="-540"/>
        <w:rPr>
          <w:sz w:val="22"/>
          <w:highlight w:val="yellow"/>
        </w:rPr>
      </w:pPr>
    </w:p>
    <w:sectPr w:rsidR="004437C4" w:rsidRPr="00C80247" w:rsidSect="00C46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04867" w14:textId="77777777" w:rsidR="004B2600" w:rsidRDefault="004B2600" w:rsidP="00C652B8">
      <w:r>
        <w:separator/>
      </w:r>
    </w:p>
  </w:endnote>
  <w:endnote w:type="continuationSeparator" w:id="0">
    <w:p w14:paraId="7A0F7E31" w14:textId="77777777" w:rsidR="004B2600" w:rsidRDefault="004B2600" w:rsidP="00C6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57CFC" w14:textId="77777777" w:rsidR="00630F05" w:rsidRDefault="00630F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2B5CF" w14:textId="77777777" w:rsidR="00630F05" w:rsidRDefault="00630F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B48E" w14:textId="77777777" w:rsidR="00630F05" w:rsidRDefault="00630F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A013" w14:textId="77777777" w:rsidR="004B2600" w:rsidRDefault="004B2600" w:rsidP="00C652B8">
      <w:r>
        <w:separator/>
      </w:r>
    </w:p>
  </w:footnote>
  <w:footnote w:type="continuationSeparator" w:id="0">
    <w:p w14:paraId="77940A04" w14:textId="77777777" w:rsidR="004B2600" w:rsidRDefault="004B2600" w:rsidP="00C652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26A5" w14:textId="3E33DC0A" w:rsidR="004B2600" w:rsidRDefault="004B26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85622" w14:textId="693C025F" w:rsidR="004B2600" w:rsidRDefault="004B2600" w:rsidP="00355D44">
    <w:pPr>
      <w:tabs>
        <w:tab w:val="left" w:pos="90"/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ind w:right="-720"/>
      <w:rPr>
        <w:sz w:val="22"/>
        <w:u w:val="single"/>
      </w:rPr>
    </w:pPr>
  </w:p>
  <w:p w14:paraId="56ACFE5D" w14:textId="77777777" w:rsidR="004B2600" w:rsidRDefault="004B260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7F0E" w14:textId="668D4A31" w:rsidR="004B2600" w:rsidRDefault="004B26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104C4"/>
    <w:multiLevelType w:val="hybridMultilevel"/>
    <w:tmpl w:val="065AE3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5C519C"/>
    <w:multiLevelType w:val="hybridMultilevel"/>
    <w:tmpl w:val="6A7EC4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C4"/>
    <w:rsid w:val="00005328"/>
    <w:rsid w:val="00050F02"/>
    <w:rsid w:val="000840D4"/>
    <w:rsid w:val="00355D44"/>
    <w:rsid w:val="003952B7"/>
    <w:rsid w:val="004437C4"/>
    <w:rsid w:val="004B2600"/>
    <w:rsid w:val="004E0C59"/>
    <w:rsid w:val="005069DD"/>
    <w:rsid w:val="00630F05"/>
    <w:rsid w:val="0072759D"/>
    <w:rsid w:val="007833E0"/>
    <w:rsid w:val="007928E2"/>
    <w:rsid w:val="00797B1F"/>
    <w:rsid w:val="00816823"/>
    <w:rsid w:val="008367A7"/>
    <w:rsid w:val="0088545A"/>
    <w:rsid w:val="008C56CE"/>
    <w:rsid w:val="00900B2F"/>
    <w:rsid w:val="00967AFD"/>
    <w:rsid w:val="00A532A4"/>
    <w:rsid w:val="00A77800"/>
    <w:rsid w:val="00A906D6"/>
    <w:rsid w:val="00B1685E"/>
    <w:rsid w:val="00C369BA"/>
    <w:rsid w:val="00C46BA3"/>
    <w:rsid w:val="00C652B8"/>
    <w:rsid w:val="00C72E2F"/>
    <w:rsid w:val="00C80247"/>
    <w:rsid w:val="00DD1EDB"/>
    <w:rsid w:val="00E1605B"/>
    <w:rsid w:val="00EE58F5"/>
    <w:rsid w:val="00F20361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30CC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7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C4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C4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47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2B8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5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2B8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C4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7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C4"/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7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C4"/>
    <w:rPr>
      <w:rFonts w:ascii="Lucida Grande" w:eastAsiaTheme="minorHAnsi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2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247"/>
    <w:rPr>
      <w:rFonts w:ascii="Times New Roman" w:eastAsiaTheme="minorHAns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52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2B8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52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2B8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Bisson</dc:creator>
  <cp:lastModifiedBy>Anne Marie Sousa</cp:lastModifiedBy>
  <cp:revision>2</cp:revision>
  <dcterms:created xsi:type="dcterms:W3CDTF">2014-10-23T17:15:00Z</dcterms:created>
  <dcterms:modified xsi:type="dcterms:W3CDTF">2014-10-23T17:15:00Z</dcterms:modified>
</cp:coreProperties>
</file>