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49" w:rsidRPr="00937057" w:rsidRDefault="00905D49" w:rsidP="005512CF">
      <w:pPr>
        <w:pStyle w:val="NormalWeb"/>
        <w:spacing w:before="0" w:beforeAutospacing="0" w:after="0" w:afterAutospacing="0" w:line="300" w:lineRule="exact"/>
        <w:ind w:left="446" w:hanging="446"/>
        <w:jc w:val="both"/>
        <w:rPr>
          <w:rFonts w:ascii="Verdana" w:hAnsi="Verdana" w:cstheme="majorBidi"/>
          <w:sz w:val="16"/>
        </w:rPr>
      </w:pPr>
      <w:r>
        <w:rPr>
          <w:rFonts w:ascii="Verdana" w:hAnsi="Verdana" w:cstheme="majorBid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A69B" wp14:editId="504B740E">
                <wp:simplePos x="0" y="0"/>
                <wp:positionH relativeFrom="column">
                  <wp:posOffset>902752</wp:posOffset>
                </wp:positionH>
                <wp:positionV relativeFrom="paragraph">
                  <wp:posOffset>111534</wp:posOffset>
                </wp:positionV>
                <wp:extent cx="2624317" cy="5824"/>
                <wp:effectExtent l="0" t="0" r="17780" b="450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4317" cy="582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0F5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8.8pt" to="277.75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" strokecolor="black [3213]" strokeweight=".5pt">
                <v:shadow on="t" opacity="22938f" offset="0"/>
                <o:lock v:ext="edit" shapetype="f"/>
              </v:line>
            </w:pict>
          </mc:Fallback>
        </mc:AlternateContent>
      </w:r>
      <w:r w:rsidRPr="00905D49">
        <w:rPr>
          <w:rFonts w:ascii="Verdana" w:hAnsi="Verdana" w:cstheme="majorBidi"/>
          <w:noProof/>
          <w:sz w:val="16"/>
        </w:rPr>
        <w:t>MAX SCHULMAN</w:t>
      </w:r>
    </w:p>
    <w:p w:rsidR="00905D49" w:rsidRPr="00905D49" w:rsidRDefault="00905D49" w:rsidP="005512CF">
      <w:pPr>
        <w:spacing w:line="300" w:lineRule="exact"/>
        <w:jc w:val="both"/>
        <w:rPr>
          <w:rFonts w:ascii="Verdana" w:hAnsi="Verdana" w:cstheme="majorBidi"/>
          <w:b/>
        </w:rPr>
      </w:pPr>
      <w:r w:rsidRPr="00905D49">
        <w:rPr>
          <w:rFonts w:ascii="Verdana" w:hAnsi="Verdana" w:cstheme="majorBidi"/>
          <w:b/>
        </w:rPr>
        <w:t>The Relation of Pre-Habitual Thought</w:t>
      </w:r>
    </w:p>
    <w:p w:rsidR="00905D49" w:rsidRPr="00CF2736" w:rsidRDefault="00905D49" w:rsidP="005512CF">
      <w:pPr>
        <w:spacing w:line="300" w:lineRule="exact"/>
        <w:jc w:val="both"/>
        <w:rPr>
          <w:rFonts w:ascii="Verdana" w:hAnsi="Verdana" w:cstheme="majorBidi"/>
          <w:b/>
        </w:rPr>
      </w:pPr>
      <w:r w:rsidRPr="00905D49">
        <w:rPr>
          <w:rFonts w:ascii="Verdana" w:hAnsi="Verdana" w:cstheme="majorBidi"/>
          <w:b/>
        </w:rPr>
        <w:t>and Behavior to Language</w:t>
      </w:r>
    </w:p>
    <w:p w:rsidR="00F66D3B" w:rsidRDefault="00F66D3B" w:rsidP="005512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49" w:rsidRDefault="00905D49" w:rsidP="005512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49" w:rsidRDefault="00905D49" w:rsidP="005512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49" w:rsidRDefault="00905D49" w:rsidP="005512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49" w:rsidRDefault="00905D49" w:rsidP="005512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49" w:rsidRDefault="00905D49" w:rsidP="005512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49" w:rsidRDefault="00905D49" w:rsidP="005512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49" w:rsidRDefault="00905D49" w:rsidP="005512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49" w:rsidRPr="00C3293B" w:rsidRDefault="00905D49" w:rsidP="00C3293B">
      <w:pPr>
        <w:keepNext/>
        <w:framePr w:dropCap="drop" w:lines="2" w:wrap="around" w:vAnchor="text" w:hAnchor="text"/>
        <w:spacing w:line="600" w:lineRule="exact"/>
        <w:jc w:val="both"/>
        <w:textAlignment w:val="baseline"/>
        <w:rPr>
          <w:rFonts w:ascii="Verdana" w:hAnsi="Verdana" w:cs="Times New Roman"/>
          <w:position w:val="-6"/>
          <w:sz w:val="58"/>
          <w:szCs w:val="16"/>
        </w:rPr>
      </w:pPr>
      <w:r w:rsidRPr="00C3293B">
        <w:rPr>
          <w:rFonts w:ascii="Verdana" w:hAnsi="Verdana" w:cs="Times New Roman"/>
          <w:position w:val="-6"/>
          <w:sz w:val="58"/>
          <w:szCs w:val="16"/>
        </w:rPr>
        <w:t>T</w:t>
      </w:r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16"/>
          <w:szCs w:val="16"/>
        </w:rPr>
        <w:t>HE LINGUIST BENJAMIN LEE WHORF OUTLINED AN INFLUENTIAL</w:t>
      </w:r>
      <w:r w:rsidR="005512CF">
        <w:rPr>
          <w:rFonts w:ascii="Georgia" w:hAnsi="Georgia" w:cs="Times New Roman"/>
          <w:sz w:val="16"/>
          <w:szCs w:val="16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theory of the interactions between language and thought in</w:t>
      </w:r>
      <w:r w:rsidR="005512CF">
        <w:rPr>
          <w:rFonts w:ascii="Georgia" w:hAnsi="Georgia" w:cs="Times New Roman"/>
          <w:sz w:val="16"/>
          <w:szCs w:val="16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his classic 1956 article “The Relation of Habitual Thought and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Behavior to Language.” This paper played an important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historical role in modern linguistics with its introduction of the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concept of linguistic relativity, the idea that language influences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our thought and perception of reality at very basic levels, leading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to differences in behavior and cognition between speakers of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different languages. Whorf believes that the mechanism of this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linguistic influence lies in the subtle shaping of “habitual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thought” by the usage over time of certain linguistic patterns and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structures. Although he suggests a certain “affinity” between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thought and linguistic structure, Whorf is reluctant to identify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any specific causations or correlations between language and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tendencies in thought and behavior (Whorf 1956:139). This is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perhaps because the relativist notion of direct linguistic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influence on behavior is on </w:t>
      </w:r>
      <w:r w:rsidRPr="00905D49">
        <w:rPr>
          <w:rFonts w:ascii="Georgia" w:hAnsi="Georgia" w:cs="Times New Roman"/>
          <w:sz w:val="20"/>
          <w:szCs w:val="20"/>
        </w:rPr>
        <w:lastRenderedPageBreak/>
        <w:t>its face a radical claim. Whorf admits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the impossibility of predicting specific characteristics of a culture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from the structure of its language (Whorf 1956:159).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Nevertheless, Whorf believes in principle that certain basic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concepts “are not given in substantially the same form by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experience to all men but depend on the nature of the language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or languages through the use of which they have been developed”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(Whorf 1956:158). Moreover, he expects these connections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“eventually to be discoverable by study” (Whorf 1956:159).</w:t>
      </w:r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>In their 1997 paper “A Cross-Linguistic Study of Early Word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Meaning: Universal Ontology and Linguistic Influence,” the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psychologists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Mutsumi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Dedre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reported the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results of a study in which they sought to test such theories of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linguistic influence on thought. In this paper, they examined a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single basic concept across two languages with basic structural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dissimilarities. 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studied the ways in which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English and Japanese speakers classify various items as either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substances or objects. In English this categorization is marked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structurally by the delineation o</w:t>
      </w:r>
      <w:r w:rsidR="00E864B8">
        <w:rPr>
          <w:rFonts w:ascii="Georgia" w:hAnsi="Georgia" w:cs="Times New Roman"/>
          <w:sz w:val="20"/>
          <w:szCs w:val="20"/>
        </w:rPr>
        <w:t>f objects as count nouns (</w:t>
      </w:r>
      <w:r w:rsidRPr="00E864B8">
        <w:rPr>
          <w:rFonts w:ascii="Georgia" w:hAnsi="Georgia" w:cs="Times New Roman"/>
          <w:i/>
          <w:sz w:val="20"/>
          <w:szCs w:val="20"/>
        </w:rPr>
        <w:t>a</w:t>
      </w:r>
      <w:r w:rsidRPr="00905D49">
        <w:rPr>
          <w:rFonts w:ascii="Georgia" w:hAnsi="Georgia" w:cs="Times New Roman"/>
          <w:sz w:val="20"/>
          <w:szCs w:val="20"/>
        </w:rPr>
        <w:t xml:space="preserve"> door,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E864B8">
        <w:rPr>
          <w:rFonts w:ascii="Georgia" w:hAnsi="Georgia" w:cs="Times New Roman"/>
          <w:i/>
          <w:sz w:val="20"/>
          <w:szCs w:val="20"/>
        </w:rPr>
        <w:t>two</w:t>
      </w:r>
      <w:r w:rsidRPr="00905D49">
        <w:rPr>
          <w:rFonts w:ascii="Georgia" w:hAnsi="Georgia" w:cs="Times New Roman"/>
          <w:sz w:val="20"/>
          <w:szCs w:val="20"/>
        </w:rPr>
        <w:t xml:space="preserve"> hammers)</w:t>
      </w:r>
      <w:r w:rsidR="00E864B8">
        <w:rPr>
          <w:rFonts w:ascii="Georgia" w:hAnsi="Georgia" w:cs="Times New Roman"/>
          <w:sz w:val="20"/>
          <w:szCs w:val="20"/>
        </w:rPr>
        <w:t xml:space="preserve"> and substances as mass nouns (some water, </w:t>
      </w:r>
      <w:r w:rsidRPr="00905D49">
        <w:rPr>
          <w:rFonts w:ascii="Georgia" w:hAnsi="Georgia" w:cs="Times New Roman"/>
          <w:sz w:val="20"/>
          <w:szCs w:val="20"/>
        </w:rPr>
        <w:t>an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acre of land). The Japanese language lacks this distinction,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treating every noun as a mass noun in the sense of requiring a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="00E864B8">
        <w:rPr>
          <w:rFonts w:ascii="Georgia" w:hAnsi="Georgia" w:cs="Times New Roman"/>
          <w:sz w:val="20"/>
          <w:szCs w:val="20"/>
        </w:rPr>
        <w:t>“unitizer” (</w:t>
      </w:r>
      <w:r w:rsidRPr="00905D49">
        <w:rPr>
          <w:rFonts w:ascii="Georgia" w:hAnsi="Georgia" w:cs="Times New Roman"/>
          <w:sz w:val="20"/>
          <w:szCs w:val="20"/>
        </w:rPr>
        <w:t xml:space="preserve">a liter </w:t>
      </w:r>
      <w:r w:rsidR="00E864B8">
        <w:rPr>
          <w:rFonts w:ascii="Georgia" w:hAnsi="Georgia" w:cs="Times New Roman"/>
          <w:sz w:val="20"/>
          <w:szCs w:val="20"/>
        </w:rPr>
        <w:t xml:space="preserve">of milk, </w:t>
      </w:r>
      <w:r w:rsidRPr="00905D49">
        <w:rPr>
          <w:rFonts w:ascii="Georgia" w:hAnsi="Georgia" w:cs="Times New Roman"/>
          <w:sz w:val="20"/>
          <w:szCs w:val="20"/>
        </w:rPr>
        <w:t>an hour of time) for discrete reference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to a specific quantity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1997:169, 173). Imai and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wanted to test whether these structurally dissimilar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modes of description produced idiosyncratic patterns of behavior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lastRenderedPageBreak/>
        <w:t>in English and Japanese speakers by the Whorfian influence of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habitual use. While t</w:t>
      </w:r>
      <w:r w:rsidR="005512CF">
        <w:rPr>
          <w:rFonts w:ascii="Georgia" w:hAnsi="Georgia" w:cs="Times New Roman"/>
          <w:sz w:val="20"/>
          <w:szCs w:val="20"/>
        </w:rPr>
        <w:t xml:space="preserve">heir findings exposed divergent </w:t>
      </w:r>
      <w:r w:rsidRPr="00905D49">
        <w:rPr>
          <w:rFonts w:ascii="Georgia" w:hAnsi="Georgia" w:cs="Times New Roman"/>
          <w:sz w:val="20"/>
          <w:szCs w:val="20"/>
        </w:rPr>
        <w:t>cross</w:t>
      </w:r>
      <w:r w:rsidR="00E864B8">
        <w:rPr>
          <w:rFonts w:ascii="Georgia" w:hAnsi="Georgia" w:cs="Times New Roman"/>
          <w:sz w:val="20"/>
          <w:szCs w:val="20"/>
        </w:rPr>
        <w:t>-</w:t>
      </w:r>
      <w:r w:rsidRPr="00905D49">
        <w:rPr>
          <w:rFonts w:ascii="Georgia" w:hAnsi="Georgia" w:cs="Times New Roman"/>
          <w:sz w:val="20"/>
          <w:szCs w:val="20"/>
        </w:rPr>
        <w:t>linguistic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behavior, the constancy of their results across age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groups makes an argument against Whorf’s habitually acquired</w:t>
      </w:r>
      <w:r w:rsidR="005512CF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relativity. It suggests th</w:t>
      </w:r>
      <w:r w:rsidR="005512CF">
        <w:rPr>
          <w:rFonts w:ascii="Georgia" w:hAnsi="Georgia" w:cs="Times New Roman"/>
          <w:sz w:val="20"/>
          <w:szCs w:val="20"/>
        </w:rPr>
        <w:t xml:space="preserve">at the culturally subjective </w:t>
      </w:r>
      <w:r w:rsidRPr="00905D49">
        <w:rPr>
          <w:rFonts w:ascii="Georgia" w:hAnsi="Georgia" w:cs="Times New Roman"/>
          <w:sz w:val="20"/>
          <w:szCs w:val="20"/>
        </w:rPr>
        <w:t>substance</w:t>
      </w:r>
      <w:r w:rsidR="00944B40">
        <w:rPr>
          <w:rFonts w:ascii="Georgia" w:hAnsi="Georgia" w:cs="Times New Roman"/>
          <w:sz w:val="20"/>
          <w:szCs w:val="20"/>
        </w:rPr>
        <w:t>/</w:t>
      </w:r>
      <w:r w:rsidRPr="00905D49">
        <w:rPr>
          <w:rFonts w:ascii="Georgia" w:hAnsi="Georgia" w:cs="Times New Roman"/>
          <w:sz w:val="20"/>
          <w:szCs w:val="20"/>
        </w:rPr>
        <w:t>object</w:t>
      </w:r>
      <w:r w:rsidR="00E864B8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distinction is in fact based on some other differentiation</w:t>
      </w:r>
      <w:r w:rsidR="00E864B8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prior to the habitual linguistic patterns identified by Whorf.</w:t>
      </w:r>
    </w:p>
    <w:p w:rsidR="00E864B8" w:rsidRDefault="00E864B8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</w:p>
    <w:p w:rsidR="00E864B8" w:rsidRDefault="00E864B8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</w:p>
    <w:p w:rsidR="00E864B8" w:rsidRPr="00C3293B" w:rsidRDefault="00C3293B" w:rsidP="00C3293B">
      <w:pPr>
        <w:keepNext/>
        <w:framePr w:dropCap="drop" w:lines="2" w:wrap="around" w:vAnchor="text" w:hAnchor="text"/>
        <w:spacing w:line="600" w:lineRule="exact"/>
        <w:jc w:val="both"/>
        <w:textAlignment w:val="baseline"/>
        <w:rPr>
          <w:rFonts w:ascii="Verdana" w:hAnsi="Verdana" w:cs="Times New Roman"/>
          <w:position w:val="-6"/>
          <w:sz w:val="63"/>
          <w:szCs w:val="20"/>
        </w:rPr>
      </w:pPr>
      <w:r w:rsidRPr="00C3293B">
        <w:rPr>
          <w:rFonts w:ascii="Verdana" w:hAnsi="Verdana" w:cs="Times New Roman"/>
          <w:position w:val="-6"/>
          <w:sz w:val="63"/>
          <w:szCs w:val="20"/>
        </w:rPr>
        <w:t>I</w:t>
      </w:r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 xml:space="preserve">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proposed to investigate possible influence by</w:t>
      </w:r>
      <w:r w:rsidR="00E864B8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these structures on the ways in which English and Japanese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speakers distinguish substances from objects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1997:169). The categories of “object” and “substance” are the sort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of concepts, like “time” and “matter,” that Whorf thought were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not defined by universal experience but instead varied from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culture to culture depending on linguistic structure (Whorf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1956:158). For Whorf, the distinctions embodied in these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categories are not objectively given by the universe, but rather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depend on the projection of linguistically conditioned human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experience onto reality. Indeed, Whorf observes that this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categorization “is more widespread in language than in the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observable experience of things . . . The distinction is somewhat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forced upon our description of events by an unavoidable pattern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in language” (Whorf 1956:141).</w:t>
      </w:r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lastRenderedPageBreak/>
        <w:t xml:space="preserve">In an attempt to test this claim, 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took four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age groups of monolingual native Japanese and English speakers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(early and late 2-year-olds, 4-year-olds, and adults) and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subjected them individually to three types of trials. In each, the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subject was first presented with a standard item – respectively, a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simple object such as a pyramid, a complex object such as a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whisk, and a substance such as sand. This first item was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introduced with a nonsensical label in a syntactic frame designed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to leave ambiguous whether the name referred to the shape or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the material of the item. They would say, for example, “Look at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this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0305AC">
        <w:rPr>
          <w:rFonts w:ascii="Georgia" w:hAnsi="Georgia" w:cs="Times New Roman"/>
          <w:i/>
          <w:sz w:val="20"/>
          <w:szCs w:val="20"/>
        </w:rPr>
        <w:t>dax</w:t>
      </w:r>
      <w:proofErr w:type="spellEnd"/>
      <w:r w:rsidRPr="00905D49">
        <w:rPr>
          <w:rFonts w:ascii="Georgia" w:hAnsi="Georgia" w:cs="Times New Roman"/>
          <w:sz w:val="20"/>
          <w:szCs w:val="20"/>
        </w:rPr>
        <w:t>.” The subject was then presented with two alternatives,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one sharing the original item’s shape and the other its material.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proofErr w:type="gramStart"/>
      <w:r w:rsidRPr="00905D49">
        <w:rPr>
          <w:rFonts w:ascii="Georgia" w:hAnsi="Georgia" w:cs="Times New Roman"/>
          <w:sz w:val="20"/>
          <w:szCs w:val="20"/>
        </w:rPr>
        <w:t>Thus</w:t>
      </w:r>
      <w:proofErr w:type="gramEnd"/>
      <w:r w:rsidRPr="00905D49">
        <w:rPr>
          <w:rFonts w:ascii="Georgia" w:hAnsi="Georgia" w:cs="Times New Roman"/>
          <w:sz w:val="20"/>
          <w:szCs w:val="20"/>
        </w:rPr>
        <w:t xml:space="preserve"> one trial firs</w:t>
      </w:r>
      <w:r w:rsidR="000305AC">
        <w:rPr>
          <w:rFonts w:ascii="Georgia" w:hAnsi="Georgia" w:cs="Times New Roman"/>
          <w:sz w:val="20"/>
          <w:szCs w:val="20"/>
        </w:rPr>
        <w:t>t presented a cork pyramid as “</w:t>
      </w:r>
      <w:proofErr w:type="spellStart"/>
      <w:r w:rsidRPr="000305AC">
        <w:rPr>
          <w:rFonts w:ascii="Georgia" w:hAnsi="Georgia" w:cs="Times New Roman"/>
          <w:i/>
          <w:sz w:val="20"/>
          <w:szCs w:val="20"/>
        </w:rPr>
        <w:t>dax</w:t>
      </w:r>
      <w:proofErr w:type="spellEnd"/>
      <w:r w:rsidRPr="00905D49">
        <w:rPr>
          <w:rFonts w:ascii="Georgia" w:hAnsi="Georgia" w:cs="Times New Roman"/>
          <w:sz w:val="20"/>
          <w:szCs w:val="20"/>
        </w:rPr>
        <w:t>” and then a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plastic pyramid and a chunk of cork; another presented sand in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an S-shape, followed by pieces of glass in an S-shape and three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piles of sand. The subjects were then asked to point to which of</w:t>
      </w:r>
      <w:r w:rsidR="000305AC">
        <w:rPr>
          <w:rFonts w:ascii="Georgia" w:hAnsi="Georgia" w:cs="Times New Roman"/>
          <w:sz w:val="20"/>
          <w:szCs w:val="20"/>
        </w:rPr>
        <w:t xml:space="preserve"> the latter alternatives was “</w:t>
      </w:r>
      <w:proofErr w:type="spellStart"/>
      <w:r w:rsidRPr="000305AC">
        <w:rPr>
          <w:rFonts w:ascii="Georgia" w:hAnsi="Georgia" w:cs="Times New Roman"/>
          <w:i/>
          <w:sz w:val="20"/>
          <w:szCs w:val="20"/>
        </w:rPr>
        <w:t>dax</w:t>
      </w:r>
      <w:proofErr w:type="spellEnd"/>
      <w:r w:rsidRPr="00905D49">
        <w:rPr>
          <w:rFonts w:ascii="Georgia" w:hAnsi="Georgia" w:cs="Times New Roman"/>
          <w:sz w:val="20"/>
          <w:szCs w:val="20"/>
        </w:rPr>
        <w:t>.” If they identified the shape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alternative, it w</w:t>
      </w:r>
      <w:r w:rsidR="000305AC">
        <w:rPr>
          <w:rFonts w:ascii="Georgia" w:hAnsi="Georgia" w:cs="Times New Roman"/>
          <w:sz w:val="20"/>
          <w:szCs w:val="20"/>
        </w:rPr>
        <w:t>ould mean they had classified “</w:t>
      </w:r>
      <w:proofErr w:type="spellStart"/>
      <w:r w:rsidRPr="000305AC">
        <w:rPr>
          <w:rFonts w:ascii="Georgia" w:hAnsi="Georgia" w:cs="Times New Roman"/>
          <w:i/>
          <w:sz w:val="20"/>
          <w:szCs w:val="20"/>
        </w:rPr>
        <w:t>dax</w:t>
      </w:r>
      <w:proofErr w:type="spellEnd"/>
      <w:r w:rsidRPr="00905D49">
        <w:rPr>
          <w:rFonts w:ascii="Georgia" w:hAnsi="Georgia" w:cs="Times New Roman"/>
          <w:sz w:val="20"/>
          <w:szCs w:val="20"/>
        </w:rPr>
        <w:t>” as an object;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choice of the material alternative would imply its categorization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as a substance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1997:179-181).</w:t>
      </w:r>
    </w:p>
    <w:p w:rsidR="00F66D3B" w:rsidRDefault="00F66D3B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 xml:space="preserve">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predicted that if the substance/object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distinction were universally innate or formed very early, the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youngest children would produce similar results regardless of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language. 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anticipated the youngest children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would base their choices on the nature of the presented items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and so primarily identify distinct solid shapes as objects and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non-solid </w:t>
      </w:r>
      <w:r w:rsidRPr="00905D49">
        <w:rPr>
          <w:rFonts w:ascii="Georgia" w:hAnsi="Georgia" w:cs="Times New Roman"/>
          <w:sz w:val="20"/>
          <w:szCs w:val="20"/>
        </w:rPr>
        <w:lastRenderedPageBreak/>
        <w:t>materials as substances. The psychologists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acknowledge Whorf’s theory of habitual linguistic influence by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speculating that any differences across language will emerge only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later, “after language has had the opportunity to add its influence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to this system of initial constraints”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1997:177). If, on the other hand, the substance/object distinction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were linguistically acquired from the beginning, Imai and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predicted sharp differences between the two groups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from very early on. They expected English-speaking children to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define both complex and simple objects by shape and non-solid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materials by substance, reflecting their sharp linguistic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distinction between these categories. They further expected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Japanese children either to perform randomly or to demonstrate</w:t>
      </w:r>
      <w:r w:rsidR="000305AC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a material bias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1997:177).</w:t>
      </w:r>
    </w:p>
    <w:p w:rsidR="000305AC" w:rsidRDefault="000305AC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</w:p>
    <w:p w:rsidR="000305AC" w:rsidRPr="00905D49" w:rsidRDefault="000305AC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</w:p>
    <w:p w:rsidR="00944B40" w:rsidRPr="00C3293B" w:rsidRDefault="00944B40" w:rsidP="00C3293B">
      <w:pPr>
        <w:keepNext/>
        <w:framePr w:dropCap="drop" w:lines="2" w:wrap="around" w:vAnchor="text" w:hAnchor="text"/>
        <w:spacing w:line="600" w:lineRule="exact"/>
        <w:jc w:val="both"/>
        <w:textAlignment w:val="baseline"/>
        <w:rPr>
          <w:rFonts w:ascii="Verdana" w:hAnsi="Verdana" w:cs="Times New Roman"/>
          <w:position w:val="-6"/>
          <w:sz w:val="63"/>
          <w:szCs w:val="20"/>
        </w:rPr>
      </w:pPr>
      <w:r w:rsidRPr="00C3293B">
        <w:rPr>
          <w:rFonts w:ascii="Verdana" w:hAnsi="Verdana" w:cs="Times New Roman"/>
          <w:position w:val="-6"/>
          <w:sz w:val="63"/>
          <w:szCs w:val="20"/>
        </w:rPr>
        <w:t>I</w:t>
      </w:r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 xml:space="preserve">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Gentner’s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results point to significant differences in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substance/object classification between speakers of the two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languages, contradicting a simple non-relativist concept of the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distinction as wholly innate and linguistically universal. At all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ages English speakers more often identify simple objects by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shape rather than by material, with on average 77.25% of English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speakers choosing shape as opposed to an average 48.75% of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Japanese speakers. In addition, in the substance trials Japanese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speakers consistently went by material more often (an average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88.5%) than did their English </w:t>
      </w:r>
      <w:r w:rsidRPr="006D70B5">
        <w:rPr>
          <w:rFonts w:ascii="Georgia" w:hAnsi="Georgia" w:cs="Times New Roman"/>
          <w:sz w:val="20"/>
          <w:szCs w:val="20"/>
        </w:rPr>
        <w:t>counterparts (53.5%)</w:t>
      </w:r>
      <w:r w:rsidR="006D70B5" w:rsidRPr="006D70B5">
        <w:rPr>
          <w:rFonts w:ascii="Georgia" w:hAnsi="Georgia" w:cs="Times New Roman"/>
          <w:sz w:val="20"/>
          <w:szCs w:val="20"/>
        </w:rPr>
        <w:t>.</w:t>
      </w:r>
      <w:r w:rsidR="006D70B5">
        <w:rPr>
          <w:rFonts w:ascii="Georgia" w:hAnsi="Georgia" w:cs="Times New Roman"/>
          <w:sz w:val="20"/>
          <w:szCs w:val="20"/>
          <w:vertAlign w:val="superscript"/>
        </w:rPr>
        <w:t>1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complex </w:t>
      </w:r>
      <w:r w:rsidRPr="00905D49">
        <w:rPr>
          <w:rFonts w:ascii="Georgia" w:hAnsi="Georgia" w:cs="Times New Roman"/>
          <w:sz w:val="20"/>
          <w:szCs w:val="20"/>
        </w:rPr>
        <w:lastRenderedPageBreak/>
        <w:t>object trials yielded consistently high shape responses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across both groups at all ages, although at generally slightly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higher rates (an average 90.5%) for English speakers than for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Japanese speakers (85.75%)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1997:182).</w:t>
      </w:r>
    </w:p>
    <w:p w:rsidR="00944B40" w:rsidRDefault="00F66D3B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>These consistent discrepancies in substance/object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identification by Japanese and English speakers make a strong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argument for the influence of linguistic structure on basic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conceptual thought. There may be a universal necessity of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dividing reality into substances and objects, but the nature and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location of this division varies so greatly and reliably between the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speakers of these two languages that language appears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overwhelmingly likely to play some role. At the same time, Imai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Gentner’s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results also establish that the linguistically specific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character of the substance/object distinction is established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extremely early in childhood, apparently before the acquisition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of the relevant grammatical divergence between the two groups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1997:169). 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do not speculate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as to the age at which Japanese children grasp proper unitizer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use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1997:173), but they confirm that tests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with English-speaking early 2-year-olds “convincingly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demonstrate that the children failed to command count/mass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syntax”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1997:172).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>In both the complex and simple object trials, however, early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2-year-old English and Japanese speakers were already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displaying the differentiations that would continue to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characterize their respective substance/object distinctions into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adulthood (Imai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lastRenderedPageBreak/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1997:182). This suggests that the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linguistically relative element of the substance/object distinction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does not in fact emerge by Whorf's proposed method of habitual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language usage over time. Very young children have not yet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acquired this kind of habitual experience of language use, having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indeed barely begun to speak. Although 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Gentner’s</w:t>
      </w:r>
      <w:proofErr w:type="spellEnd"/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research shows a clear pattern of divergent behavior between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speakers of the two languages, it does not demonstrate the kind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of linguistic relativity envisioned by Whorf.</w:t>
      </w:r>
    </w:p>
    <w:p w:rsidR="00944B40" w:rsidRDefault="00944B40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</w:p>
    <w:p w:rsidR="00944B40" w:rsidRDefault="00944B40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</w:p>
    <w:p w:rsidR="00944B40" w:rsidRPr="00C3293B" w:rsidRDefault="00944B40" w:rsidP="00C3293B">
      <w:pPr>
        <w:keepNext/>
        <w:framePr w:dropCap="drop" w:lines="2" w:wrap="around" w:vAnchor="text" w:hAnchor="text"/>
        <w:spacing w:line="600" w:lineRule="exact"/>
        <w:jc w:val="both"/>
        <w:textAlignment w:val="baseline"/>
        <w:rPr>
          <w:rFonts w:ascii="Verdana" w:hAnsi="Verdana" w:cs="Times New Roman"/>
          <w:position w:val="-6"/>
          <w:sz w:val="63"/>
          <w:szCs w:val="20"/>
        </w:rPr>
      </w:pPr>
      <w:r w:rsidRPr="00C3293B">
        <w:rPr>
          <w:rFonts w:ascii="Verdana" w:hAnsi="Verdana" w:cs="Times New Roman"/>
          <w:position w:val="-6"/>
          <w:sz w:val="63"/>
          <w:szCs w:val="20"/>
        </w:rPr>
        <w:t>P</w:t>
      </w:r>
    </w:p>
    <w:p w:rsidR="00944B40" w:rsidRDefault="00F66D3B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>artisans of Whorf might dispute the assumption that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count/mass grammar is the pertinent Whorfian structure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here and argue that as early as age 2 English speakers have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acquired the relevant linguistic framework to influence their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perception. 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acknowledge that it is “impossible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in principle . . . to rule out the possibility that the children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possessed some tacit knowledge of count/mass syntax” (Imai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1997:172). In considering Whorf’s hypothesis this is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an irrefutable if not a particularly fruitful line of argument. It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may well be true that as early as age 2 the English speakers were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sufficiently immersed in the language to have their basic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perceptions altered, though they did not yet exhibit the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manifestations of this either consciously or instinctively.</w:t>
      </w:r>
    </w:p>
    <w:p w:rsidR="00F66D3B" w:rsidRDefault="00F66D3B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>But Whorf’s hypothesis is concerned with “habitual thought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and behavior” (Whorf 1956:134). The mechanism by which he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lastRenderedPageBreak/>
        <w:t>believes linguistically determined concepts to “become fixed in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the language as integrated ‘fashions of speaking’” (Whorf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1956:158) is not some untraceable encoding that occurs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extremely early in a child’s learning and remains essentially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static thereafter. Rather he argues that by the “most ordinary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everyday analysis of phenomena” (Whorf 1956:135) over time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our patterns of conceptual thought are “to a large extent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unconsciously built up on the language habits of the group,” to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quote his mentor, the linguist Edward Sapir (Whorf 1956:134).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We grow so accustomed to calling some gasoline drums “empty,”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for example, that we forget the explosive vapor inside and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acquire “careless” habits of behavior around them (Whorf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1956:135). This sort of pattern is something clearly outside the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experience of 2-year-olds. These children, if they have managed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to acquire habits or “patterns of denotation and reckoning”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(Whorf 1956:145) at all in their first exploratory months of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speech, have certainly not built them up within and alongside a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group. It is not at all clear that at this inquisitive, exploratory,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and volatile point in the learning process that children can have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linguistic habits in the adult sense of “a </w:t>
      </w:r>
      <w:r w:rsidR="00944B40">
        <w:rPr>
          <w:rFonts w:ascii="Georgia" w:hAnsi="Georgia" w:cs="Times New Roman"/>
          <w:sz w:val="20"/>
          <w:szCs w:val="20"/>
        </w:rPr>
        <w:t xml:space="preserve">cultural </w:t>
      </w:r>
      <w:r w:rsidRPr="006D70B5">
        <w:rPr>
          <w:rFonts w:ascii="Georgia" w:hAnsi="Georgia" w:cs="Times New Roman"/>
          <w:i/>
          <w:sz w:val="20"/>
          <w:szCs w:val="20"/>
        </w:rPr>
        <w:t xml:space="preserve">non </w:t>
      </w:r>
      <w:proofErr w:type="spellStart"/>
      <w:r w:rsidRPr="006D70B5">
        <w:rPr>
          <w:rFonts w:ascii="Georgia" w:hAnsi="Georgia" w:cs="Times New Roman"/>
          <w:i/>
          <w:sz w:val="20"/>
          <w:szCs w:val="20"/>
        </w:rPr>
        <w:t>est</w:t>
      </w:r>
      <w:proofErr w:type="spellEnd"/>
      <w:r w:rsidR="00944B40" w:rsidRPr="006D70B5">
        <w:rPr>
          <w:rFonts w:ascii="Georgia" w:hAnsi="Georgia" w:cs="Times New Roman"/>
          <w:i/>
          <w:sz w:val="20"/>
          <w:szCs w:val="20"/>
        </w:rPr>
        <w:t xml:space="preserve"> </w:t>
      </w:r>
      <w:proofErr w:type="spellStart"/>
      <w:r w:rsidRPr="006D70B5">
        <w:rPr>
          <w:rFonts w:ascii="Georgia" w:hAnsi="Georgia" w:cs="Times New Roman"/>
          <w:i/>
          <w:sz w:val="20"/>
          <w:szCs w:val="20"/>
        </w:rPr>
        <w:t>disputandum</w:t>
      </w:r>
      <w:proofErr w:type="spellEnd"/>
      <w:r w:rsidRPr="00905D49">
        <w:rPr>
          <w:rFonts w:ascii="Georgia" w:hAnsi="Georgia" w:cs="Times New Roman"/>
          <w:sz w:val="20"/>
          <w:szCs w:val="20"/>
        </w:rPr>
        <w:t>,” or something not to be debated (Whorf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1956:138). If linguistic influence is built up over time by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repetitive habituation to certain fashions of speaking and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thinking, then Japanese and English speakers should, as Imai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predicted, demonstrate greater uniformity at very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young ages and then diverge with age and linguistic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differentiation. </w:t>
      </w:r>
      <w:r w:rsidRPr="00905D49">
        <w:rPr>
          <w:rFonts w:ascii="Georgia" w:hAnsi="Georgia" w:cs="Times New Roman"/>
          <w:sz w:val="20"/>
          <w:szCs w:val="20"/>
        </w:rPr>
        <w:lastRenderedPageBreak/>
        <w:t>These expectations were decisively contradicted</w:t>
      </w:r>
      <w:r w:rsidR="00944B40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by the results of this experiment.</w:t>
      </w:r>
    </w:p>
    <w:p w:rsidR="00944B40" w:rsidRDefault="00944B40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</w:p>
    <w:p w:rsidR="00944B40" w:rsidRPr="00905D49" w:rsidRDefault="00944B40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</w:p>
    <w:p w:rsidR="006D70B5" w:rsidRPr="00C3293B" w:rsidRDefault="006D70B5" w:rsidP="00C3293B">
      <w:pPr>
        <w:keepNext/>
        <w:framePr w:dropCap="drop" w:lines="2" w:wrap="around" w:vAnchor="text" w:hAnchor="text"/>
        <w:spacing w:line="600" w:lineRule="exact"/>
        <w:jc w:val="both"/>
        <w:textAlignment w:val="baseline"/>
        <w:rPr>
          <w:rFonts w:ascii="Verdana" w:hAnsi="Verdana" w:cs="Times New Roman"/>
          <w:position w:val="-6"/>
          <w:sz w:val="63"/>
          <w:szCs w:val="20"/>
        </w:rPr>
      </w:pPr>
      <w:r w:rsidRPr="00C3293B">
        <w:rPr>
          <w:rFonts w:ascii="Verdana" w:hAnsi="Verdana" w:cs="Times New Roman"/>
          <w:position w:val="-6"/>
          <w:sz w:val="63"/>
          <w:szCs w:val="20"/>
        </w:rPr>
        <w:t>T</w:t>
      </w:r>
      <w:bookmarkStart w:id="0" w:name="_GoBack"/>
      <w:bookmarkEnd w:id="0"/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>he linguistic tendencies with which Whorf is concerned are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pervasive and often subconscious, but they are certainly not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evasive of observation by rigorous linguistic study. Indeed,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Whorf believes “the best approach” to their identification to be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“through an exotic language, for in its study we are at long last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pushed willy-nilly out of our ruts” (Whorf 1956:138). Imai and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Gentner’s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cross-linguistic behavioral study, then, should have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been exactly the sort of experiment to clearly confirm or refute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Whorf’s hypothesis. Of course, the substance/object distinction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is only one case. Though Whorf himself clearly argues that the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distinction belongs in the category of linguistically determined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concepts (Whorf 1956:140-141), he may be wrong. No single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experiment could validate or disprove so complex a theory of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thought and language, but the data here clearly present serious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problems for Whorf’s hypothesis.</w:t>
      </w:r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ind w:firstLine="450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>Whorf explains that “by ‘habitual thought’ and ‘thought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world’ I mean more than simply language, i.e. than the linguistic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patterns themselves. I include all the analogical and suggestive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value of the patterns . . . and all the give-and-take between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language and culture as a whole” (Whorf 1956:147). Given the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vast divergence between their respective habitual experiences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and linguistic patterns, it seems a strange and perverse idea that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a 2-year-old’s English “thought-world” and an </w:t>
      </w:r>
      <w:proofErr w:type="gramStart"/>
      <w:r w:rsidRPr="00905D49">
        <w:rPr>
          <w:rFonts w:ascii="Georgia" w:hAnsi="Georgia" w:cs="Times New Roman"/>
          <w:sz w:val="20"/>
          <w:szCs w:val="20"/>
        </w:rPr>
        <w:t>adult’s</w:t>
      </w:r>
      <w:proofErr w:type="gramEnd"/>
      <w:r w:rsidRPr="00905D49">
        <w:rPr>
          <w:rFonts w:ascii="Georgia" w:hAnsi="Georgia" w:cs="Times New Roman"/>
          <w:sz w:val="20"/>
          <w:szCs w:val="20"/>
        </w:rPr>
        <w:t xml:space="preserve"> should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produce </w:t>
      </w:r>
      <w:r w:rsidRPr="00905D49">
        <w:rPr>
          <w:rFonts w:ascii="Georgia" w:hAnsi="Georgia" w:cs="Times New Roman"/>
          <w:sz w:val="20"/>
          <w:szCs w:val="20"/>
        </w:rPr>
        <w:lastRenderedPageBreak/>
        <w:t>nearly identical cognitive patterns. This documented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and enduring consistency across age groups presents a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noteworthy example of differences in thought across languages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but rebuts the Whorfian conception of habitual linguistic usage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 xml:space="preserve">as the basis for these disparities. Imai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Gentner’s</w:t>
      </w:r>
      <w:proofErr w:type="spellEnd"/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substance/object study proves if nothing else that our perception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of this basic concept remains unchanged from a very young age,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certainly long before the acquisition of recurring habits and adult</w:t>
      </w:r>
      <w:r w:rsidR="006D70B5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linguistic familiarization to quotidian language.</w:t>
      </w:r>
    </w:p>
    <w:p w:rsidR="006D70B5" w:rsidRDefault="006D70B5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</w:p>
    <w:p w:rsidR="00F66D3B" w:rsidRPr="006D70B5" w:rsidRDefault="006D70B5" w:rsidP="000305AC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br w:type="column"/>
      </w:r>
      <w:r w:rsidR="00F66D3B" w:rsidRPr="006D70B5">
        <w:rPr>
          <w:rFonts w:ascii="Verdana" w:hAnsi="Verdana" w:cs="Times New Roman"/>
          <w:b/>
          <w:sz w:val="20"/>
          <w:szCs w:val="20"/>
        </w:rPr>
        <w:lastRenderedPageBreak/>
        <w:t>Endnotes</w:t>
      </w:r>
    </w:p>
    <w:p w:rsidR="006D70B5" w:rsidRDefault="006D70B5" w:rsidP="000305AC">
      <w:pPr>
        <w:autoSpaceDE w:val="0"/>
        <w:autoSpaceDN w:val="0"/>
        <w:adjustRightInd w:val="0"/>
        <w:jc w:val="both"/>
        <w:rPr>
          <w:rFonts w:ascii="Georgia" w:hAnsi="Georgia" w:cs="Times New Roman"/>
          <w:sz w:val="12"/>
          <w:szCs w:val="12"/>
        </w:rPr>
      </w:pPr>
    </w:p>
    <w:p w:rsidR="00F66D3B" w:rsidRPr="00210E77" w:rsidRDefault="006D70B5" w:rsidP="000305AC">
      <w:pPr>
        <w:autoSpaceDE w:val="0"/>
        <w:autoSpaceDN w:val="0"/>
        <w:adjustRightInd w:val="0"/>
        <w:jc w:val="both"/>
        <w:rPr>
          <w:rFonts w:ascii="Georgia" w:hAnsi="Georgia" w:cs="Times New Roman"/>
          <w:sz w:val="18"/>
          <w:szCs w:val="18"/>
        </w:rPr>
      </w:pPr>
      <w:r w:rsidRPr="00210E77">
        <w:rPr>
          <w:rFonts w:ascii="Georgia" w:hAnsi="Georgia" w:cs="Times New Roman"/>
          <w:sz w:val="18"/>
          <w:szCs w:val="18"/>
          <w:vertAlign w:val="superscript"/>
        </w:rPr>
        <w:t>1</w:t>
      </w:r>
      <w:r w:rsidR="00210E77" w:rsidRPr="00210E77">
        <w:rPr>
          <w:rFonts w:ascii="Georgia" w:hAnsi="Georgia" w:cs="Times New Roman"/>
          <w:sz w:val="18"/>
          <w:szCs w:val="18"/>
          <w:vertAlign w:val="superscript"/>
        </w:rPr>
        <w:t xml:space="preserve"> </w:t>
      </w:r>
      <w:r w:rsidRPr="00210E77">
        <w:rPr>
          <w:rFonts w:ascii="Georgia" w:hAnsi="Georgia" w:cs="Times New Roman"/>
          <w:sz w:val="18"/>
          <w:szCs w:val="18"/>
        </w:rPr>
        <w:t>T</w:t>
      </w:r>
      <w:r w:rsidR="00F66D3B" w:rsidRPr="00210E77">
        <w:rPr>
          <w:rFonts w:ascii="Georgia" w:hAnsi="Georgia" w:cs="Times New Roman"/>
          <w:sz w:val="18"/>
          <w:szCs w:val="18"/>
        </w:rPr>
        <w:t>he substance trial results are complicated by the anomalous result of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the early 2-year-old age group, in which Japanese children showed an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unusually high preference for shape (45% as opposed to sub-20% for all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 xml:space="preserve">other age groups) (Imai and </w:t>
      </w:r>
      <w:proofErr w:type="spellStart"/>
      <w:r w:rsidR="00F66D3B" w:rsidRPr="00210E77">
        <w:rPr>
          <w:rFonts w:ascii="Georgia" w:hAnsi="Georgia" w:cs="Times New Roman"/>
          <w:sz w:val="18"/>
          <w:szCs w:val="18"/>
        </w:rPr>
        <w:t>Gentner</w:t>
      </w:r>
      <w:proofErr w:type="spellEnd"/>
      <w:r w:rsidR="00F66D3B" w:rsidRPr="00210E77">
        <w:rPr>
          <w:rFonts w:ascii="Georgia" w:hAnsi="Georgia" w:cs="Times New Roman"/>
          <w:sz w:val="18"/>
          <w:szCs w:val="18"/>
        </w:rPr>
        <w:t xml:space="preserve"> 1997:182). This still represents a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majority preference for material, however, and it should also be noted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that the singular occurrence of this anomaly only here makes it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awkward to fit into a Whorfian argument. Either the relevant formative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linguistic structure has already set in at this age, in which case the 2-year-olds’ unique substance trial results are problematic, or it has not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yet solidified, in which case there remains to be explained their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performance consistent with older speakers in both the complex and</w:t>
      </w:r>
      <w:r w:rsidRPr="00210E77">
        <w:rPr>
          <w:rFonts w:ascii="Georgia" w:hAnsi="Georgia" w:cs="Times New Roman"/>
          <w:sz w:val="18"/>
          <w:szCs w:val="18"/>
        </w:rPr>
        <w:t xml:space="preserve"> </w:t>
      </w:r>
      <w:r w:rsidR="00F66D3B" w:rsidRPr="00210E77">
        <w:rPr>
          <w:rFonts w:ascii="Georgia" w:hAnsi="Georgia" w:cs="Times New Roman"/>
          <w:sz w:val="18"/>
          <w:szCs w:val="18"/>
        </w:rPr>
        <w:t>simple object trials.</w:t>
      </w:r>
    </w:p>
    <w:p w:rsidR="006D70B5" w:rsidRDefault="006D70B5" w:rsidP="000305AC">
      <w:pPr>
        <w:autoSpaceDE w:val="0"/>
        <w:autoSpaceDN w:val="0"/>
        <w:adjustRightInd w:val="0"/>
        <w:jc w:val="both"/>
        <w:rPr>
          <w:rFonts w:ascii="Georgia" w:hAnsi="Georgia" w:cs="Times New Roman"/>
          <w:sz w:val="20"/>
          <w:szCs w:val="20"/>
        </w:rPr>
      </w:pPr>
    </w:p>
    <w:p w:rsidR="00F66D3B" w:rsidRPr="00210E77" w:rsidRDefault="00210E77" w:rsidP="000305AC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br w:type="column"/>
      </w:r>
      <w:r w:rsidR="00F66D3B" w:rsidRPr="00210E77">
        <w:rPr>
          <w:rFonts w:ascii="Verdana" w:hAnsi="Verdana" w:cs="Times New Roman"/>
          <w:b/>
          <w:sz w:val="20"/>
          <w:szCs w:val="20"/>
        </w:rPr>
        <w:lastRenderedPageBreak/>
        <w:t>Works Cited</w:t>
      </w:r>
    </w:p>
    <w:p w:rsidR="00210E77" w:rsidRDefault="00210E77" w:rsidP="000305AC">
      <w:pPr>
        <w:autoSpaceDE w:val="0"/>
        <w:autoSpaceDN w:val="0"/>
        <w:adjustRightInd w:val="0"/>
        <w:jc w:val="both"/>
        <w:rPr>
          <w:rFonts w:ascii="Georgia" w:hAnsi="Georgia" w:cs="Times New Roman"/>
          <w:sz w:val="20"/>
          <w:szCs w:val="20"/>
        </w:rPr>
      </w:pPr>
    </w:p>
    <w:p w:rsidR="00F66D3B" w:rsidRPr="00905D49" w:rsidRDefault="00F66D3B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 xml:space="preserve">Imai,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Mutsumi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, and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Dedre</w:t>
      </w:r>
      <w:proofErr w:type="spellEnd"/>
      <w:r w:rsidRPr="00905D49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905D49">
        <w:rPr>
          <w:rFonts w:ascii="Georgia" w:hAnsi="Georgia" w:cs="Times New Roman"/>
          <w:sz w:val="20"/>
          <w:szCs w:val="20"/>
        </w:rPr>
        <w:t>Gentner</w:t>
      </w:r>
      <w:proofErr w:type="spellEnd"/>
      <w:r w:rsidRPr="00905D49">
        <w:rPr>
          <w:rFonts w:ascii="Georgia" w:hAnsi="Georgia" w:cs="Times New Roman"/>
          <w:sz w:val="20"/>
          <w:szCs w:val="20"/>
        </w:rPr>
        <w:t>. “A Cross-Linguistic Study of</w:t>
      </w:r>
      <w:r w:rsidR="00210E77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Early Word Meaning: Universal Ontology and Linguistic</w:t>
      </w:r>
      <w:r w:rsidR="00210E77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Influence.”  Cognition. 62. (1997): 169-200.</w:t>
      </w:r>
    </w:p>
    <w:p w:rsidR="00210E77" w:rsidRDefault="00210E77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</w:p>
    <w:p w:rsidR="002B6C2B" w:rsidRPr="00210E77" w:rsidRDefault="00F66D3B" w:rsidP="00C3293B">
      <w:pPr>
        <w:autoSpaceDE w:val="0"/>
        <w:autoSpaceDN w:val="0"/>
        <w:adjustRightInd w:val="0"/>
        <w:spacing w:line="300" w:lineRule="exact"/>
        <w:jc w:val="both"/>
        <w:rPr>
          <w:rFonts w:ascii="Georgia" w:hAnsi="Georgia" w:cs="Times New Roman"/>
          <w:sz w:val="20"/>
          <w:szCs w:val="20"/>
        </w:rPr>
      </w:pPr>
      <w:r w:rsidRPr="00905D49">
        <w:rPr>
          <w:rFonts w:ascii="Georgia" w:hAnsi="Georgia" w:cs="Times New Roman"/>
          <w:sz w:val="20"/>
          <w:szCs w:val="20"/>
        </w:rPr>
        <w:t>Whorf, Benjamin L. “The Relations of Habitual Thought and</w:t>
      </w:r>
      <w:r w:rsidR="00210E77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Behavior to Language,” in Language, Thought and Reality:</w:t>
      </w:r>
      <w:r w:rsidR="00210E77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Selected Writings of Benjamin Lee Whorf, edited by J. Carroll.</w:t>
      </w:r>
      <w:r w:rsidR="00210E77">
        <w:rPr>
          <w:rFonts w:ascii="Georgia" w:hAnsi="Georgia" w:cs="Times New Roman"/>
          <w:sz w:val="20"/>
          <w:szCs w:val="20"/>
        </w:rPr>
        <w:t xml:space="preserve"> </w:t>
      </w:r>
      <w:r w:rsidRPr="00905D49">
        <w:rPr>
          <w:rFonts w:ascii="Georgia" w:hAnsi="Georgia" w:cs="Times New Roman"/>
          <w:sz w:val="20"/>
          <w:szCs w:val="20"/>
        </w:rPr>
        <w:t>Cambridge: MIT Press, 1956, pp. 134-159.</w:t>
      </w:r>
    </w:p>
    <w:sectPr w:rsidR="002B6C2B" w:rsidRPr="00210E77" w:rsidSect="000305AC">
      <w:footerReference w:type="even" r:id="rId6"/>
      <w:footerReference w:type="default" r:id="rId7"/>
      <w:pgSz w:w="7920" w:h="12240" w:code="11"/>
      <w:pgMar w:top="1440" w:right="907" w:bottom="2880" w:left="1267" w:header="720" w:footer="2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FDF" w:rsidRDefault="00661FDF" w:rsidP="007034CD">
      <w:r>
        <w:separator/>
      </w:r>
    </w:p>
  </w:endnote>
  <w:endnote w:type="continuationSeparator" w:id="0">
    <w:p w:rsidR="00661FDF" w:rsidRDefault="00661FDF" w:rsidP="0070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i/>
      </w:rPr>
      <w:id w:val="-98565051"/>
      <w:docPartObj>
        <w:docPartGallery w:val="Page Numbers (Bottom of Page)"/>
        <w:docPartUnique/>
      </w:docPartObj>
    </w:sdtPr>
    <w:sdtEndPr>
      <w:rPr>
        <w:rStyle w:val="PageNumber"/>
        <w:rFonts w:ascii="Georgia" w:hAnsi="Georgia"/>
        <w:sz w:val="16"/>
        <w:szCs w:val="16"/>
      </w:rPr>
    </w:sdtEndPr>
    <w:sdtContent>
      <w:p w:rsidR="00E864B8" w:rsidRPr="000305AC" w:rsidRDefault="00E864B8" w:rsidP="00294E83">
        <w:pPr>
          <w:pStyle w:val="Footer"/>
          <w:framePr w:wrap="none" w:vAnchor="text" w:hAnchor="margin" w:xAlign="inside" w:y="1"/>
          <w:rPr>
            <w:rStyle w:val="PageNumber"/>
            <w:rFonts w:ascii="Georgia" w:hAnsi="Georgia"/>
            <w:i/>
            <w:sz w:val="16"/>
            <w:szCs w:val="16"/>
          </w:rPr>
        </w:pPr>
        <w:r w:rsidRPr="000305AC">
          <w:rPr>
            <w:rStyle w:val="PageNumber"/>
            <w:rFonts w:ascii="Georgia" w:hAnsi="Georgia"/>
            <w:i/>
            <w:sz w:val="16"/>
            <w:szCs w:val="16"/>
          </w:rPr>
          <w:fldChar w:fldCharType="begin"/>
        </w:r>
        <w:r w:rsidRPr="000305AC">
          <w:rPr>
            <w:rStyle w:val="PageNumber"/>
            <w:rFonts w:ascii="Georgia" w:hAnsi="Georgia"/>
            <w:i/>
            <w:sz w:val="16"/>
            <w:szCs w:val="16"/>
          </w:rPr>
          <w:instrText xml:space="preserve"> PAGE </w:instrText>
        </w:r>
        <w:r w:rsidRPr="000305AC">
          <w:rPr>
            <w:rStyle w:val="PageNumber"/>
            <w:rFonts w:ascii="Georgia" w:hAnsi="Georgia"/>
            <w:i/>
            <w:sz w:val="16"/>
            <w:szCs w:val="16"/>
          </w:rPr>
          <w:fldChar w:fldCharType="separate"/>
        </w:r>
        <w:r w:rsidRPr="000305AC">
          <w:rPr>
            <w:rStyle w:val="PageNumber"/>
            <w:rFonts w:ascii="Georgia" w:hAnsi="Georgia"/>
            <w:i/>
            <w:noProof/>
            <w:sz w:val="16"/>
            <w:szCs w:val="16"/>
          </w:rPr>
          <w:t>2</w:t>
        </w:r>
        <w:r w:rsidRPr="000305AC">
          <w:rPr>
            <w:rStyle w:val="PageNumber"/>
            <w:rFonts w:ascii="Georgia" w:hAnsi="Georgia"/>
            <w:i/>
            <w:sz w:val="16"/>
            <w:szCs w:val="16"/>
          </w:rPr>
          <w:fldChar w:fldCharType="end"/>
        </w:r>
      </w:p>
    </w:sdtContent>
  </w:sdt>
  <w:p w:rsidR="00E864B8" w:rsidRPr="000305AC" w:rsidRDefault="00E864B8" w:rsidP="00E864B8">
    <w:pPr>
      <w:pStyle w:val="Footer"/>
      <w:ind w:right="360" w:firstLine="360"/>
      <w:jc w:val="right"/>
      <w:rPr>
        <w:rFonts w:ascii="Georgia" w:hAnsi="Georgia"/>
        <w:i/>
        <w:sz w:val="16"/>
        <w:szCs w:val="16"/>
      </w:rPr>
    </w:pPr>
    <w:r w:rsidRPr="000305AC">
      <w:rPr>
        <w:rFonts w:ascii="Georgia" w:hAnsi="Georgia"/>
        <w:i/>
        <w:sz w:val="16"/>
        <w:szCs w:val="16"/>
      </w:rPr>
      <w:t>The Relation of Pre-Habitual Thought and Behavior to Language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i/>
      </w:rPr>
      <w:id w:val="66081781"/>
      <w:docPartObj>
        <w:docPartGallery w:val="Page Numbers (Bottom of Page)"/>
        <w:docPartUnique/>
      </w:docPartObj>
    </w:sdtPr>
    <w:sdtEndPr>
      <w:rPr>
        <w:rStyle w:val="PageNumber"/>
        <w:rFonts w:ascii="Georgia" w:hAnsi="Georgia"/>
        <w:sz w:val="16"/>
        <w:szCs w:val="16"/>
      </w:rPr>
    </w:sdtEndPr>
    <w:sdtContent>
      <w:p w:rsidR="00E864B8" w:rsidRPr="000305AC" w:rsidRDefault="00E864B8" w:rsidP="00294E83">
        <w:pPr>
          <w:pStyle w:val="Footer"/>
          <w:framePr w:wrap="none" w:vAnchor="text" w:hAnchor="margin" w:xAlign="inside" w:y="1"/>
          <w:rPr>
            <w:rStyle w:val="PageNumber"/>
            <w:rFonts w:ascii="Georgia" w:hAnsi="Georgia"/>
            <w:i/>
            <w:sz w:val="16"/>
            <w:szCs w:val="16"/>
          </w:rPr>
        </w:pPr>
        <w:r w:rsidRPr="000305AC">
          <w:rPr>
            <w:rStyle w:val="PageNumber"/>
            <w:rFonts w:ascii="Georgia" w:hAnsi="Georgia"/>
            <w:i/>
            <w:sz w:val="16"/>
            <w:szCs w:val="16"/>
          </w:rPr>
          <w:fldChar w:fldCharType="begin"/>
        </w:r>
        <w:r w:rsidRPr="000305AC">
          <w:rPr>
            <w:rStyle w:val="PageNumber"/>
            <w:rFonts w:ascii="Georgia" w:hAnsi="Georgia"/>
            <w:i/>
            <w:sz w:val="16"/>
            <w:szCs w:val="16"/>
          </w:rPr>
          <w:instrText xml:space="preserve"> PAGE </w:instrText>
        </w:r>
        <w:r w:rsidRPr="000305AC">
          <w:rPr>
            <w:rStyle w:val="PageNumber"/>
            <w:rFonts w:ascii="Georgia" w:hAnsi="Georgia"/>
            <w:i/>
            <w:sz w:val="16"/>
            <w:szCs w:val="16"/>
          </w:rPr>
          <w:fldChar w:fldCharType="separate"/>
        </w:r>
        <w:r w:rsidRPr="000305AC">
          <w:rPr>
            <w:rStyle w:val="PageNumber"/>
            <w:rFonts w:ascii="Georgia" w:hAnsi="Georgia"/>
            <w:i/>
            <w:noProof/>
            <w:sz w:val="16"/>
            <w:szCs w:val="16"/>
          </w:rPr>
          <w:t>1</w:t>
        </w:r>
        <w:r w:rsidRPr="000305AC">
          <w:rPr>
            <w:rStyle w:val="PageNumber"/>
            <w:rFonts w:ascii="Georgia" w:hAnsi="Georgia"/>
            <w:i/>
            <w:sz w:val="16"/>
            <w:szCs w:val="16"/>
          </w:rPr>
          <w:fldChar w:fldCharType="end"/>
        </w:r>
      </w:p>
    </w:sdtContent>
  </w:sdt>
  <w:p w:rsidR="007034CD" w:rsidRPr="000305AC" w:rsidRDefault="00E864B8" w:rsidP="000305AC">
    <w:pPr>
      <w:pStyle w:val="Footer"/>
      <w:ind w:right="360" w:firstLine="360"/>
      <w:rPr>
        <w:i/>
      </w:rPr>
    </w:pPr>
    <w:r w:rsidRPr="000305AC">
      <w:rPr>
        <w:rFonts w:ascii="Georgia" w:hAnsi="Georgia"/>
        <w:i/>
        <w:sz w:val="16"/>
        <w:szCs w:val="16"/>
      </w:rPr>
      <w:t>Max Schulman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FDF" w:rsidRDefault="00661FDF" w:rsidP="007034CD">
      <w:r>
        <w:separator/>
      </w:r>
    </w:p>
  </w:footnote>
  <w:footnote w:type="continuationSeparator" w:id="0">
    <w:p w:rsidR="00661FDF" w:rsidRDefault="00661FDF" w:rsidP="0070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29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3B"/>
    <w:rsid w:val="000305AC"/>
    <w:rsid w:val="001356CC"/>
    <w:rsid w:val="001C21C0"/>
    <w:rsid w:val="00210E77"/>
    <w:rsid w:val="002F18D2"/>
    <w:rsid w:val="004E6A5A"/>
    <w:rsid w:val="005512CF"/>
    <w:rsid w:val="00661FDF"/>
    <w:rsid w:val="006C2B50"/>
    <w:rsid w:val="006C6EAA"/>
    <w:rsid w:val="006D70B5"/>
    <w:rsid w:val="007034CD"/>
    <w:rsid w:val="00905D49"/>
    <w:rsid w:val="00944B40"/>
    <w:rsid w:val="00A35F45"/>
    <w:rsid w:val="00C3293B"/>
    <w:rsid w:val="00C84373"/>
    <w:rsid w:val="00E864B8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3A4C"/>
  <w15:chartTrackingRefBased/>
  <w15:docId w15:val="{C55F99E2-AC1D-C640-B1EC-087D96A3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5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4CD"/>
  </w:style>
  <w:style w:type="paragraph" w:styleId="Footer">
    <w:name w:val="footer"/>
    <w:basedOn w:val="Normal"/>
    <w:link w:val="FooterChar"/>
    <w:uiPriority w:val="99"/>
    <w:unhideWhenUsed/>
    <w:rsid w:val="0070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4CD"/>
  </w:style>
  <w:style w:type="character" w:styleId="PageNumber">
    <w:name w:val="page number"/>
    <w:basedOn w:val="DefaultParagraphFont"/>
    <w:uiPriority w:val="99"/>
    <w:semiHidden/>
    <w:unhideWhenUsed/>
    <w:rsid w:val="0070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Davies</dc:creator>
  <cp:keywords/>
  <dc:description/>
  <cp:lastModifiedBy>Tad Davies</cp:lastModifiedBy>
  <cp:revision>3</cp:revision>
  <dcterms:created xsi:type="dcterms:W3CDTF">2018-04-02T14:46:00Z</dcterms:created>
  <dcterms:modified xsi:type="dcterms:W3CDTF">2018-04-02T17:41:00Z</dcterms:modified>
</cp:coreProperties>
</file>